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8F6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</w:t>
            </w:r>
            <w:proofErr w:type="spellEnd"/>
            <w:r w:rsidR="008F6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Bidang</w:t>
            </w:r>
            <w:proofErr w:type="spellEnd"/>
            <w:r w:rsidR="008F6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4E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8F689A" w:rsidRDefault="008F689A" w:rsidP="008F6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kajian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multidisiplin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Persoalan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kebijakan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praktik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bertautan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issue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politik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sosiologi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organisasi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mempersiapkan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komprehensif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prinsip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tersebut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diterapkan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problem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dunia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profesi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utama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(1)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mengenalkan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konsep-konsep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relevan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penyelesaian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moral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dunia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(2)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mengenalkan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menyediakan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alasan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rasional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skill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analitikal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menerapkan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keputusan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(3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mengidentifikasi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moral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terjadi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dunia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profesi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manajer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3A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keanekaragaman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original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lain.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moral,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bangga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kepedulian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konsep-konsep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ilmu-ilmu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menganalisa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F689A" w:rsidRDefault="008F689A" w:rsidP="008F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Bertens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,K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(2013).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Yogyakarta: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Kanisius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Hartman &amp; Desjardins. (2008).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Pengambilan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Keputusan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Integritas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pribadi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Tanggungjawab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Terjemahan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Jakarta: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Salemba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Haryatmoko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(2007).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Komunikasi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Yogyakarta: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Kanisius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F689A" w:rsidRPr="008F689A" w:rsidRDefault="008F689A" w:rsidP="008F689A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Haryatmoko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(2013).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Publik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Integritas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Publik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Politisi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 Jakarta.</w:t>
            </w:r>
          </w:p>
          <w:p w:rsidR="00EE2D7B" w:rsidRPr="008F689A" w:rsidRDefault="008F689A" w:rsidP="008F689A">
            <w:pPr>
              <w:spacing w:after="0"/>
              <w:jc w:val="both"/>
              <w:rPr>
                <w:rFonts w:asciiTheme="minorBidi" w:eastAsia="Times New Roman" w:hAnsiTheme="minorBidi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Haryatmoko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(2014).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Politik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Kekuasaa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Jakarta: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Kompas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1C2E0B" w:rsidRDefault="001C2E0B" w:rsidP="008F689A">
            <w:pPr>
              <w:spacing w:after="0"/>
              <w:jc w:val="both"/>
              <w:rPr>
                <w:rFonts w:asciiTheme="minorBidi" w:eastAsia="Times New Roman" w:hAnsiTheme="minorBidi"/>
              </w:rPr>
            </w:pPr>
            <w:r w:rsidRPr="00E72409">
              <w:rPr>
                <w:rFonts w:asciiTheme="minorBidi" w:eastAsia="Times New Roman" w:hAnsiTheme="minorBidi"/>
                <w:color w:val="000000"/>
              </w:rPr>
              <w:t xml:space="preserve"> 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1C2E0B" w:rsidRDefault="00EE2D7B" w:rsidP="008F68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1C2E0B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menjelaskan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dalam</w:t>
            </w:r>
            <w:proofErr w:type="spellEnd"/>
          </w:p>
          <w:p w:rsidR="008F689A" w:rsidRPr="00E72409" w:rsidRDefault="008F689A" w:rsidP="008F689A">
            <w:pPr>
              <w:autoSpaceDE w:val="0"/>
              <w:autoSpaceDN w:val="0"/>
              <w:adjustRightInd w:val="0"/>
              <w:rPr>
                <w:rFonts w:asciiTheme="minorBidi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dunia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modern </w:t>
            </w:r>
          </w:p>
          <w:p w:rsidR="001C2E0B" w:rsidRPr="00E72409" w:rsidRDefault="001C2E0B" w:rsidP="008F689A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689A" w:rsidRP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Pendahuluan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</w:p>
          <w:p w:rsidR="001C2E0B" w:rsidRP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dunia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F689A">
              <w:rPr>
                <w:rFonts w:ascii="Arial" w:hAnsi="Arial" w:cs="Arial"/>
                <w:color w:val="000000"/>
              </w:rPr>
              <w:t>Modern.</w:t>
            </w: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memahami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</w:p>
          <w:p w:rsidR="001C2E0B" w:rsidRPr="00E72409" w:rsidRDefault="008F689A" w:rsidP="008F689A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berbagai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teori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</w:p>
        </w:tc>
        <w:tc>
          <w:tcPr>
            <w:tcW w:w="1417" w:type="dxa"/>
          </w:tcPr>
          <w:p w:rsidR="001C2E0B" w:rsidRPr="004E2485" w:rsidRDefault="008F689A" w:rsidP="004E2485">
            <w:pPr>
              <w:tabs>
                <w:tab w:val="left" w:pos="380"/>
              </w:tabs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Theme="minorBidi" w:eastAsia="Times New Roman" w:hAnsiTheme="minorBidi"/>
              </w:rPr>
              <w:lastRenderedPageBreak/>
              <w:t>Sekilas</w:t>
            </w:r>
            <w:proofErr w:type="spellEnd"/>
            <w:r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</w:rPr>
              <w:t>teori</w:t>
            </w:r>
            <w:proofErr w:type="spellEnd"/>
            <w:r>
              <w:rPr>
                <w:rFonts w:asciiTheme="minorBidi" w:eastAsia="Times New Roman" w:hAnsiTheme="minorBidi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</w:rPr>
              <w:t>etika</w:t>
            </w:r>
            <w:proofErr w:type="spellEnd"/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lastRenderedPageBreak/>
              <w:t xml:space="preserve">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lastRenderedPageBreak/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</w:tcPr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mendeskripsikan</w:t>
            </w:r>
            <w:proofErr w:type="spellEnd"/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dalam</w:t>
            </w:r>
            <w:proofErr w:type="spellEnd"/>
          </w:p>
          <w:p w:rsidR="001C2E0B" w:rsidRPr="00E72409" w:rsidRDefault="008F689A" w:rsidP="008F689A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ekonomi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keadilan</w:t>
            </w:r>
            <w:proofErr w:type="spellEnd"/>
          </w:p>
        </w:tc>
        <w:tc>
          <w:tcPr>
            <w:tcW w:w="1417" w:type="dxa"/>
          </w:tcPr>
          <w:p w:rsidR="001C2E0B" w:rsidRPr="004E2485" w:rsidRDefault="008F689A" w:rsidP="004E2485">
            <w:pPr>
              <w:jc w:val="both"/>
              <w:rPr>
                <w:rFonts w:asciiTheme="minorBidi" w:eastAsia="Times New Roman" w:hAnsiTheme="minorBid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Ekonomi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Keadilan</w:t>
            </w:r>
            <w:proofErr w:type="spellEnd"/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mendeskripsikan</w:t>
            </w:r>
            <w:proofErr w:type="spellEnd"/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teori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liberal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</w:p>
          <w:p w:rsidR="008F689A" w:rsidRDefault="008F689A" w:rsidP="008F68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sosialis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sebagai</w:t>
            </w:r>
            <w:proofErr w:type="spellEnd"/>
          </w:p>
          <w:p w:rsidR="001C2E0B" w:rsidRPr="00E72409" w:rsidRDefault="008F689A" w:rsidP="008F689A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perjuangan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moral.</w:t>
            </w:r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Liberalisme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Sosialisme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sebagai</w:t>
            </w:r>
            <w:proofErr w:type="spellEnd"/>
          </w:p>
          <w:p w:rsidR="001C2E0B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Perjuangan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Moral.  </w:t>
            </w:r>
          </w:p>
          <w:p w:rsidR="001C2E0B" w:rsidRPr="004E2485" w:rsidRDefault="001C2E0B" w:rsidP="004E2485">
            <w:pPr>
              <w:jc w:val="both"/>
              <w:rPr>
                <w:rFonts w:asciiTheme="minorBidi" w:eastAsia="Times New Roman" w:hAnsiTheme="minorBidi"/>
              </w:rPr>
            </w:pP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1C2E0B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mendeskripsikan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mengelola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perusahaan</w:t>
            </w:r>
            <w:proofErr w:type="spellEnd"/>
          </w:p>
          <w:p w:rsidR="001C2E0B" w:rsidRPr="00E72409" w:rsidRDefault="00B41F42" w:rsidP="00B41F42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secara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Keuntungan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sebagai</w:t>
            </w:r>
            <w:proofErr w:type="spellEnd"/>
          </w:p>
          <w:p w:rsidR="001C2E0B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Tujuan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Perusahaan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right w:val="nil"/>
            </w:tcBorders>
          </w:tcPr>
          <w:p w:rsidR="001C2E0B" w:rsidRPr="00C83102" w:rsidRDefault="001C2E0B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C2E0B" w:rsidRPr="00C83102" w:rsidRDefault="001C2E0B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menganalisis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kasus</w:t>
            </w:r>
            <w:proofErr w:type="spellEnd"/>
          </w:p>
          <w:p w:rsidR="001C2E0B" w:rsidRPr="00E72409" w:rsidRDefault="00B41F42" w:rsidP="00B41F42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perusahaan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Kewajiban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Karyawan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</w:p>
          <w:p w:rsidR="001C2E0B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r>
              <w:rPr>
                <w:rFonts w:ascii="Arial" w:hAnsi="Arial" w:cs="Arial"/>
                <w:color w:val="000000"/>
              </w:rPr>
              <w:t>Perusahaan</w:t>
            </w:r>
          </w:p>
        </w:tc>
        <w:tc>
          <w:tcPr>
            <w:tcW w:w="1276" w:type="dxa"/>
          </w:tcPr>
          <w:p w:rsidR="001C2E0B" w:rsidRPr="00C83102" w:rsidRDefault="001C2E0B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1C2E0B" w:rsidRPr="00C83102" w:rsidRDefault="001C2E0B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1C2E0B" w:rsidRPr="00C83102" w:rsidRDefault="001C2E0B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1C2E0B" w:rsidRPr="00C83102" w:rsidRDefault="001C2E0B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1C2E0B" w:rsidRPr="00C83102" w:rsidRDefault="001C2E0B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1C2E0B" w:rsidRPr="00C83102" w:rsidRDefault="001C2E0B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1C2E0B" w:rsidRPr="00C83102" w:rsidRDefault="001C2E0B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1C2E0B" w:rsidRPr="00C83102" w:rsidRDefault="001C2E0B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1C2E0B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1C2E0B" w:rsidRPr="00C83102" w:rsidRDefault="001C2E0B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9.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1C2E0B" w:rsidRPr="00C83102" w:rsidRDefault="001C2E0B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MID SEMESTER</w:t>
            </w:r>
          </w:p>
        </w:tc>
      </w:tr>
      <w:tr w:rsidR="00E3377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E33771" w:rsidRPr="00C83102" w:rsidRDefault="00E3377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menjelaskan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</w:p>
          <w:p w:rsidR="00E33771" w:rsidRPr="00E72409" w:rsidRDefault="00B41F42" w:rsidP="00B41F42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konsumen</w:t>
            </w:r>
            <w:proofErr w:type="spellEnd"/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Masalah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Seputar</w:t>
            </w:r>
            <w:proofErr w:type="spellEnd"/>
          </w:p>
          <w:p w:rsidR="00E33771" w:rsidRPr="00B41F42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 w:rsidRPr="00B41F42">
              <w:rPr>
                <w:rFonts w:ascii="Arial" w:hAnsi="Arial" w:cs="Arial"/>
                <w:color w:val="000000"/>
              </w:rPr>
              <w:t>Konsumen</w:t>
            </w:r>
            <w:proofErr w:type="spellEnd"/>
          </w:p>
        </w:tc>
        <w:tc>
          <w:tcPr>
            <w:tcW w:w="1276" w:type="dxa"/>
          </w:tcPr>
          <w:p w:rsidR="00E33771" w:rsidRPr="00C83102" w:rsidRDefault="00E33771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E33771" w:rsidRPr="00C83102" w:rsidRDefault="00E3377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E33771" w:rsidRPr="00C83102" w:rsidRDefault="00E3377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E33771" w:rsidRPr="00C83102" w:rsidRDefault="00E3377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E33771" w:rsidRPr="00C83102" w:rsidRDefault="00E3377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E33771" w:rsidRPr="00C83102" w:rsidRDefault="00E33771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E33771" w:rsidRPr="00C83102" w:rsidRDefault="00E33771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E33771" w:rsidRPr="00C83102" w:rsidRDefault="00E33771" w:rsidP="00B3754A">
            <w:pPr>
              <w:rPr>
                <w:rFonts w:cstheme="majorBidi"/>
              </w:rPr>
            </w:pPr>
          </w:p>
        </w:tc>
      </w:tr>
      <w:tr w:rsidR="00B41F42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menjelaskan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</w:p>
          <w:p w:rsidR="00B41F42" w:rsidRPr="00E72409" w:rsidRDefault="00B41F42" w:rsidP="00B41F42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Komunikasi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</w:tcPr>
          <w:p w:rsidR="00B41F42" w:rsidRPr="004E2485" w:rsidRDefault="00B41F42" w:rsidP="00B41F42">
            <w:pPr>
              <w:jc w:val="both"/>
              <w:rPr>
                <w:rFonts w:asciiTheme="minorBidi" w:eastAsia="Times New Roman" w:hAnsiTheme="minorBid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Periklanan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</w:p>
        </w:tc>
        <w:tc>
          <w:tcPr>
            <w:tcW w:w="1276" w:type="dxa"/>
          </w:tcPr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41F42" w:rsidRPr="00C83102" w:rsidRDefault="00B41F42" w:rsidP="00B41F42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41F42" w:rsidRPr="00B41F42" w:rsidRDefault="00B41F42" w:rsidP="00B41F42">
            <w:pPr>
              <w:ind w:left="245" w:hanging="245"/>
              <w:rPr>
                <w:rFonts w:cstheme="majorBidi"/>
              </w:rPr>
            </w:pPr>
            <w:r w:rsidRPr="00B41F42">
              <w:rPr>
                <w:rFonts w:cstheme="majorBidi"/>
              </w:rPr>
              <w:t xml:space="preserve">1. </w:t>
            </w:r>
            <w:proofErr w:type="spellStart"/>
            <w:r w:rsidRPr="00B41F42">
              <w:rPr>
                <w:rFonts w:cstheme="majorBidi"/>
              </w:rPr>
              <w:t>Diskusi</w:t>
            </w:r>
            <w:proofErr w:type="spellEnd"/>
            <w:r w:rsidRPr="00B41F42">
              <w:rPr>
                <w:rFonts w:cstheme="majorBidi"/>
              </w:rPr>
              <w:t xml:space="preserve"> </w:t>
            </w:r>
            <w:proofErr w:type="spellStart"/>
            <w:r w:rsidRPr="00B41F42">
              <w:rPr>
                <w:rFonts w:cstheme="majorBidi"/>
              </w:rPr>
              <w:t>Kelompok</w:t>
            </w:r>
            <w:proofErr w:type="spellEnd"/>
          </w:p>
          <w:p w:rsidR="00B41F42" w:rsidRPr="00B41F42" w:rsidRDefault="00B41F42" w:rsidP="00B41F42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2. </w:t>
            </w:r>
            <w:proofErr w:type="spellStart"/>
            <w:r w:rsidRPr="00B41F42">
              <w:rPr>
                <w:rFonts w:cstheme="majorBidi"/>
              </w:rPr>
              <w:t>Penugasan</w:t>
            </w:r>
            <w:proofErr w:type="spellEnd"/>
          </w:p>
          <w:p w:rsidR="00B41F42" w:rsidRPr="00B41F42" w:rsidRDefault="00B41F42" w:rsidP="00B41F42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3. </w:t>
            </w:r>
            <w:proofErr w:type="spellStart"/>
            <w:r w:rsidRPr="00B41F42"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 w:rsidRPr="00B41F42">
              <w:rPr>
                <w:rFonts w:cstheme="majorBidi"/>
              </w:rPr>
              <w:t>kasus</w:t>
            </w:r>
            <w:proofErr w:type="spellEnd"/>
          </w:p>
        </w:tc>
        <w:tc>
          <w:tcPr>
            <w:tcW w:w="1074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41F42" w:rsidRPr="00C83102" w:rsidRDefault="00B41F42" w:rsidP="00B41F42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</w:tr>
      <w:tr w:rsidR="00B41F42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2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menganalisis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kasus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Pr="00E72409" w:rsidRDefault="00B41F42" w:rsidP="00B41F42">
            <w:pPr>
              <w:jc w:val="both"/>
              <w:rPr>
                <w:rFonts w:asciiTheme="minorBidi" w:hAnsiTheme="minorBidi"/>
                <w:lang w:val="fi-F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Periklanan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</w:tcPr>
          <w:p w:rsidR="00B41F42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Periklanan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</w:p>
        </w:tc>
        <w:tc>
          <w:tcPr>
            <w:tcW w:w="1276" w:type="dxa"/>
          </w:tcPr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41F42" w:rsidRPr="00C83102" w:rsidRDefault="00B41F42" w:rsidP="00B41F42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41F42" w:rsidRPr="00C83102" w:rsidRDefault="00B41F42" w:rsidP="00B41F42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41F42" w:rsidRPr="00C83102" w:rsidRDefault="00B41F42" w:rsidP="00B41F42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</w:tr>
      <w:tr w:rsidR="00B41F42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menjelaskan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Tanggungjawab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Sosial</w:t>
            </w:r>
            <w:proofErr w:type="spellEnd"/>
          </w:p>
          <w:p w:rsidR="00B41F42" w:rsidRPr="00E72409" w:rsidRDefault="00B41F42" w:rsidP="00B41F42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</w:rPr>
              <w:t>Perusahaan</w:t>
            </w:r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Tanggung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Jawab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Sosial</w:t>
            </w:r>
            <w:proofErr w:type="spellEnd"/>
          </w:p>
          <w:p w:rsidR="00B41F42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r>
              <w:rPr>
                <w:rFonts w:ascii="Arial" w:hAnsi="Arial" w:cs="Arial"/>
                <w:color w:val="000000"/>
              </w:rPr>
              <w:t>Perusahaan</w:t>
            </w:r>
          </w:p>
        </w:tc>
        <w:tc>
          <w:tcPr>
            <w:tcW w:w="1276" w:type="dxa"/>
          </w:tcPr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41F42" w:rsidRPr="00C83102" w:rsidRDefault="00B41F42" w:rsidP="00B41F42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41F42" w:rsidRPr="00C83102" w:rsidRDefault="00B41F42" w:rsidP="00B41F42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41F42" w:rsidRPr="00C83102" w:rsidRDefault="00B41F42" w:rsidP="00B41F42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</w:tr>
      <w:tr w:rsidR="00B41F42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14 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menganalisis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kasus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berkaitan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lingkungan</w:t>
            </w:r>
            <w:proofErr w:type="spellEnd"/>
          </w:p>
          <w:p w:rsidR="00B41F42" w:rsidRP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hidup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Bisnis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Lingkungan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Hidup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</w:p>
          <w:p w:rsidR="00B41F42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</w:p>
        </w:tc>
        <w:tc>
          <w:tcPr>
            <w:tcW w:w="1276" w:type="dxa"/>
          </w:tcPr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B41F42" w:rsidRPr="00C83102" w:rsidRDefault="00B41F42" w:rsidP="00B41F42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41F42" w:rsidRPr="00C83102" w:rsidRDefault="00B41F42" w:rsidP="00B41F42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</w:tr>
      <w:tr w:rsidR="00B41F42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Mahasiswa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mampu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menjelaskan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tentang</w:t>
            </w:r>
            <w:proofErr w:type="spellEnd"/>
          </w:p>
          <w:p w:rsidR="00B41F42" w:rsidRPr="00E72409" w:rsidRDefault="00B41F42" w:rsidP="00B41F42">
            <w:pPr>
              <w:pStyle w:val="Default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Internasional</w:t>
            </w:r>
            <w:proofErr w:type="spellEnd"/>
          </w:p>
        </w:tc>
        <w:tc>
          <w:tcPr>
            <w:tcW w:w="1417" w:type="dxa"/>
          </w:tcPr>
          <w:p w:rsidR="00B41F42" w:rsidRDefault="00B41F42" w:rsidP="00B41F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Bisnis</w:t>
            </w:r>
            <w:proofErr w:type="spellEnd"/>
          </w:p>
          <w:p w:rsidR="00B41F42" w:rsidRPr="004E2485" w:rsidRDefault="00B41F42" w:rsidP="00B41F42">
            <w:pPr>
              <w:jc w:val="both"/>
              <w:rPr>
                <w:rFonts w:asciiTheme="minorBidi" w:eastAsia="Times New Roman" w:hAnsiTheme="minorBid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Internasional</w:t>
            </w:r>
            <w:proofErr w:type="spellEnd"/>
          </w:p>
        </w:tc>
        <w:tc>
          <w:tcPr>
            <w:tcW w:w="1276" w:type="dxa"/>
          </w:tcPr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41F42" w:rsidRPr="00C83102" w:rsidRDefault="00B41F42" w:rsidP="00B41F42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B41F42" w:rsidRPr="00C83102" w:rsidRDefault="00B41F42" w:rsidP="00B41F42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41F42" w:rsidRPr="00C83102" w:rsidRDefault="00B41F42" w:rsidP="00B41F42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41F42" w:rsidRPr="00C83102" w:rsidRDefault="00B41F42" w:rsidP="00B41F42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</w:rPr>
            </w:pPr>
          </w:p>
        </w:tc>
      </w:tr>
      <w:tr w:rsidR="00B41F42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B41F42" w:rsidRPr="00C83102" w:rsidRDefault="00B41F42" w:rsidP="00B41F42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B41F42" w:rsidRPr="00C83102" w:rsidRDefault="00B41F42" w:rsidP="00B41F42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B41F42" w:rsidRPr="00C83102" w:rsidTr="00E33771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1F42" w:rsidRPr="00C83102" w:rsidRDefault="00B41F42" w:rsidP="00B41F42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41F42" w:rsidRPr="00C83102" w:rsidRDefault="00B41F42" w:rsidP="00B41F42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B41F42" w:rsidRPr="00C83102" w:rsidRDefault="00B41F42" w:rsidP="00B41F42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1541F"/>
    <w:multiLevelType w:val="multilevel"/>
    <w:tmpl w:val="BB624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62AC0"/>
    <w:multiLevelType w:val="multilevel"/>
    <w:tmpl w:val="7E96C3C4"/>
    <w:lvl w:ilvl="0">
      <w:start w:val="1"/>
      <w:numFmt w:val="lowerLetter"/>
      <w:lvlText w:val="%1.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ascii="Times New Roman" w:hAnsi="Times New Roman" w:cs="Times New Roman" w:hint="default"/>
      </w:rPr>
    </w:lvl>
  </w:abstractNum>
  <w:abstractNum w:abstractNumId="6">
    <w:nsid w:val="27FD4EC5"/>
    <w:multiLevelType w:val="hybridMultilevel"/>
    <w:tmpl w:val="4730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2C56E0"/>
    <w:multiLevelType w:val="hybridMultilevel"/>
    <w:tmpl w:val="2868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C6168"/>
    <w:multiLevelType w:val="hybridMultilevel"/>
    <w:tmpl w:val="391A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B739C"/>
    <w:multiLevelType w:val="hybridMultilevel"/>
    <w:tmpl w:val="D966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B38C9"/>
    <w:multiLevelType w:val="hybridMultilevel"/>
    <w:tmpl w:val="5F40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D20632"/>
    <w:multiLevelType w:val="hybridMultilevel"/>
    <w:tmpl w:val="C86A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2FC9"/>
    <w:multiLevelType w:val="hybridMultilevel"/>
    <w:tmpl w:val="F234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E0C27"/>
    <w:multiLevelType w:val="hybridMultilevel"/>
    <w:tmpl w:val="C650A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C0401C"/>
    <w:multiLevelType w:val="hybridMultilevel"/>
    <w:tmpl w:val="6C800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45227"/>
    <w:multiLevelType w:val="hybridMultilevel"/>
    <w:tmpl w:val="DDC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E233E"/>
    <w:multiLevelType w:val="hybridMultilevel"/>
    <w:tmpl w:val="8BD6F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20E26"/>
    <w:multiLevelType w:val="hybridMultilevel"/>
    <w:tmpl w:val="6D52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6"/>
  </w:num>
  <w:num w:numId="5">
    <w:abstractNumId w:val="7"/>
  </w:num>
  <w:num w:numId="6">
    <w:abstractNumId w:val="26"/>
  </w:num>
  <w:num w:numId="7">
    <w:abstractNumId w:val="22"/>
  </w:num>
  <w:num w:numId="8">
    <w:abstractNumId w:val="4"/>
  </w:num>
  <w:num w:numId="9">
    <w:abstractNumId w:val="13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7"/>
  </w:num>
  <w:num w:numId="19">
    <w:abstractNumId w:val="23"/>
  </w:num>
  <w:num w:numId="20">
    <w:abstractNumId w:val="24"/>
  </w:num>
  <w:num w:numId="21">
    <w:abstractNumId w:val="21"/>
  </w:num>
  <w:num w:numId="22">
    <w:abstractNumId w:val="6"/>
  </w:num>
  <w:num w:numId="23">
    <w:abstractNumId w:val="18"/>
  </w:num>
  <w:num w:numId="24">
    <w:abstractNumId w:val="14"/>
  </w:num>
  <w:num w:numId="25">
    <w:abstractNumId w:val="15"/>
  </w:num>
  <w:num w:numId="26">
    <w:abstractNumId w:val="20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191148"/>
    <w:rsid w:val="001C2E0B"/>
    <w:rsid w:val="0021544E"/>
    <w:rsid w:val="002376F9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4E2485"/>
    <w:rsid w:val="006F42E3"/>
    <w:rsid w:val="00720B89"/>
    <w:rsid w:val="00803D2C"/>
    <w:rsid w:val="00822143"/>
    <w:rsid w:val="0086256F"/>
    <w:rsid w:val="00874ACA"/>
    <w:rsid w:val="008D5190"/>
    <w:rsid w:val="008F689A"/>
    <w:rsid w:val="0097766D"/>
    <w:rsid w:val="009E5C01"/>
    <w:rsid w:val="00A30327"/>
    <w:rsid w:val="00A82F87"/>
    <w:rsid w:val="00A90D02"/>
    <w:rsid w:val="00B3754A"/>
    <w:rsid w:val="00B41F42"/>
    <w:rsid w:val="00B8306A"/>
    <w:rsid w:val="00C775BC"/>
    <w:rsid w:val="00C83102"/>
    <w:rsid w:val="00E33771"/>
    <w:rsid w:val="00EE2D7B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C2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18</cp:revision>
  <dcterms:created xsi:type="dcterms:W3CDTF">2019-11-21T01:31:00Z</dcterms:created>
  <dcterms:modified xsi:type="dcterms:W3CDTF">2020-09-25T07:26:00Z</dcterms:modified>
</cp:coreProperties>
</file>