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05" w:type="dxa"/>
        <w:jc w:val="center"/>
        <w:tblInd w:w="184" w:type="dxa"/>
        <w:tblLayout w:type="fixed"/>
        <w:tblLook w:val="04A0"/>
      </w:tblPr>
      <w:tblGrid>
        <w:gridCol w:w="2203"/>
        <w:gridCol w:w="1635"/>
        <w:gridCol w:w="3553"/>
        <w:gridCol w:w="953"/>
        <w:gridCol w:w="1019"/>
        <w:gridCol w:w="1667"/>
        <w:gridCol w:w="1975"/>
      </w:tblGrid>
      <w:tr w:rsidR="002A6840" w:rsidRPr="00EE2D7B" w:rsidTr="00A30327">
        <w:trPr>
          <w:trHeight w:val="337"/>
          <w:jc w:val="center"/>
        </w:trPr>
        <w:tc>
          <w:tcPr>
            <w:tcW w:w="220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A30327" w:rsidP="00A3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-99695</wp:posOffset>
                  </wp:positionV>
                  <wp:extent cx="892175" cy="853440"/>
                  <wp:effectExtent l="0" t="0" r="3175" b="3810"/>
                  <wp:wrapNone/>
                  <wp:docPr id="1" name="Picture 1" descr="UIN Alauddin Makassar 21638285 logo u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IN Alauddin Makassar 21638285 logo u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802" w:type="dxa"/>
            <w:gridSpan w:val="6"/>
            <w:tcBorders>
              <w:top w:val="thinThickSmallGap" w:sz="24" w:space="0" w:color="auto"/>
              <w:left w:val="double" w:sz="6" w:space="0" w:color="auto"/>
              <w:bottom w:val="nil"/>
              <w:right w:val="thinThickSmallGap" w:sz="24" w:space="0" w:color="auto"/>
            </w:tcBorders>
            <w:shd w:val="clear" w:color="000000" w:fill="DAEEF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UNIVERSITAS ISLAM NEGERI (UIN) ALAUDDIN MAKASSAR</w:t>
            </w:r>
          </w:p>
        </w:tc>
      </w:tr>
      <w:tr w:rsidR="002A6840" w:rsidRPr="00EE2D7B" w:rsidTr="00874ACA">
        <w:trPr>
          <w:trHeight w:val="402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nil"/>
              <w:left w:val="double" w:sz="6" w:space="0" w:color="auto"/>
              <w:bottom w:val="nil"/>
              <w:right w:val="thinThickSmall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FAKULTAS EKONOMI DAN BISNIS ISLAM </w:t>
            </w:r>
          </w:p>
        </w:tc>
      </w:tr>
      <w:tr w:rsidR="002A6840" w:rsidRPr="00EE2D7B" w:rsidTr="00874ACA">
        <w:trPr>
          <w:trHeight w:val="209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nil"/>
              <w:left w:val="double" w:sz="6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PROGRAM STUDI : MANAJEMEN</w:t>
            </w:r>
          </w:p>
        </w:tc>
      </w:tr>
      <w:tr w:rsidR="002A6840" w:rsidRPr="00EE2D7B" w:rsidTr="00B3754A">
        <w:trPr>
          <w:trHeight w:val="375"/>
          <w:jc w:val="center"/>
        </w:trPr>
        <w:tc>
          <w:tcPr>
            <w:tcW w:w="2203" w:type="dxa"/>
            <w:vMerge/>
            <w:tcBorders>
              <w:top w:val="double" w:sz="6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thinThickSmallGap" w:sz="24" w:space="0" w:color="auto"/>
            </w:tcBorders>
            <w:shd w:val="clear" w:color="000000" w:fill="DAEEF3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RENCANA PEMBELAJARAN SEMESTER (RPS)</w:t>
            </w:r>
          </w:p>
        </w:tc>
      </w:tr>
      <w:tr w:rsidR="002A6840" w:rsidRPr="00EE2D7B" w:rsidTr="00874ACA">
        <w:trPr>
          <w:trHeight w:val="439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Kode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Bobot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sks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Semester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Tgl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Penyusunan</w:t>
            </w:r>
            <w:proofErr w:type="spellEnd"/>
          </w:p>
        </w:tc>
      </w:tr>
      <w:tr w:rsidR="002A6840" w:rsidRPr="00EE2D7B" w:rsidTr="00B3754A">
        <w:trPr>
          <w:trHeight w:val="439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9E5C01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0741">
              <w:rPr>
                <w:rFonts w:cs="Calibri"/>
              </w:rPr>
              <w:t>MNJ2334</w:t>
            </w:r>
            <w:r w:rsidR="00EE2D7B"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874ACA">
        <w:trPr>
          <w:trHeight w:val="615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Otorisasi</w:t>
            </w:r>
            <w:proofErr w:type="spellEnd"/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="008D519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Dosen</w:t>
            </w:r>
            <w:proofErr w:type="spellEnd"/>
            <w:r w:rsidR="00620A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Pengembang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RPS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KoordinatorBidang</w:t>
            </w:r>
            <w:proofErr w:type="spellEnd"/>
            <w:r w:rsidR="00620A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Keahlian</w:t>
            </w:r>
            <w:proofErr w:type="spellEnd"/>
          </w:p>
        </w:tc>
        <w:tc>
          <w:tcPr>
            <w:tcW w:w="36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Ketua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Program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Studi</w:t>
            </w:r>
            <w:proofErr w:type="spellEnd"/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42" w:type="dxa"/>
            <w:gridSpan w:val="2"/>
            <w:tcBorders>
              <w:top w:val="single" w:sz="8" w:space="0" w:color="000000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TandaTangan</w:t>
            </w:r>
            <w:proofErr w:type="spellEnd"/>
          </w:p>
        </w:tc>
      </w:tr>
      <w:tr w:rsidR="002A6840" w:rsidRPr="00EE2D7B" w:rsidTr="00B3754A">
        <w:trPr>
          <w:trHeight w:val="342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1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(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NamaTerang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)</w:t>
            </w:r>
          </w:p>
        </w:tc>
      </w:tr>
      <w:tr w:rsidR="002A6840" w:rsidRPr="00EE2D7B" w:rsidTr="00B3754A">
        <w:trPr>
          <w:trHeight w:val="495"/>
          <w:jc w:val="center"/>
        </w:trPr>
        <w:tc>
          <w:tcPr>
            <w:tcW w:w="2203" w:type="dxa"/>
            <w:tcBorders>
              <w:top w:val="single" w:sz="8" w:space="0" w:color="000000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Dosen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Pengampuh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MK :</w:t>
            </w: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2A6840" w:rsidRPr="00EE2D7B" w:rsidTr="00B3754A">
        <w:trPr>
          <w:trHeight w:val="461"/>
          <w:jc w:val="center"/>
        </w:trPr>
        <w:tc>
          <w:tcPr>
            <w:tcW w:w="2203" w:type="dxa"/>
            <w:tcBorders>
              <w:top w:val="nil"/>
              <w:left w:val="thinThickSmallGap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Nama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Prasyarat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10802" w:type="dxa"/>
            <w:gridSpan w:val="6"/>
            <w:tcBorders>
              <w:top w:val="nil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620A7F" w:rsidP="009E5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Manajemen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Keuangan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Internasional</w:t>
            </w:r>
            <w:proofErr w:type="spellEnd"/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Deskripsi</w:t>
            </w:r>
            <w:proofErr w:type="spellEnd"/>
            <w:r w:rsidR="009E5C0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Singkat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0802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620A7F" w:rsidP="003A3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725058">
              <w:rPr>
                <w:rFonts w:ascii="Candara" w:hAnsi="Candara"/>
                <w:sz w:val="20"/>
                <w:szCs w:val="20"/>
              </w:rPr>
              <w:t>penguasaan</w:t>
            </w:r>
            <w:proofErr w:type="spellEnd"/>
            <w:proofErr w:type="gram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topik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utama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yaitu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, 1. Perusahaan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multinasional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dan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proses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internasionalisasi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; 2.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Sistem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moneter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internasional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dan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Keuangan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perusahaan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diseluruh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dunia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; 3.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Kurs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dan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bursa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valuta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asing</w:t>
            </w:r>
            <w:proofErr w:type="gramStart"/>
            <w:r w:rsidRPr="00725058">
              <w:rPr>
                <w:rFonts w:ascii="Candara" w:hAnsi="Candara"/>
                <w:sz w:val="20"/>
                <w:szCs w:val="20"/>
              </w:rPr>
              <w:t>;4</w:t>
            </w:r>
            <w:proofErr w:type="gramEnd"/>
            <w:r w:rsidRPr="00725058">
              <w:rPr>
                <w:rFonts w:ascii="Candara" w:hAnsi="Candara"/>
                <w:sz w:val="20"/>
                <w:szCs w:val="20"/>
              </w:rPr>
              <w:t xml:space="preserve">. Hedging; 5.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Kondisi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paritas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internasional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; 6. Swaps; 7.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Pengelolaan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sistem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keuangan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internasional</w:t>
            </w:r>
            <w:proofErr w:type="spellEnd"/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right w:val="nil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</w:t>
            </w:r>
            <w:proofErr w:type="spellEnd"/>
            <w:r w:rsidR="003A3DA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(CP) :</w:t>
            </w: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Lulusan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Program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(CPL-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Prodi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S9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620A7F" w:rsidP="00620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20A7F">
              <w:rPr>
                <w:rFonts w:ascii="Candara" w:hAnsi="Candara"/>
                <w:w w:val="102"/>
                <w:sz w:val="20"/>
                <w:szCs w:val="20"/>
              </w:rPr>
              <w:t>Be</w:t>
            </w:r>
            <w:r w:rsidRPr="00620A7F">
              <w:rPr>
                <w:rFonts w:ascii="Candara" w:hAnsi="Candara"/>
                <w:spacing w:val="-1"/>
                <w:w w:val="102"/>
                <w:sz w:val="20"/>
                <w:szCs w:val="20"/>
              </w:rPr>
              <w:t>r</w:t>
            </w:r>
            <w:r w:rsidRPr="00620A7F">
              <w:rPr>
                <w:rFonts w:ascii="Candara" w:hAnsi="Candara"/>
                <w:spacing w:val="2"/>
                <w:w w:val="103"/>
                <w:sz w:val="20"/>
                <w:szCs w:val="20"/>
              </w:rPr>
              <w:t>t</w:t>
            </w:r>
            <w:r w:rsidRPr="00620A7F">
              <w:rPr>
                <w:rFonts w:ascii="Candara" w:hAnsi="Candara"/>
                <w:w w:val="102"/>
                <w:sz w:val="20"/>
                <w:szCs w:val="20"/>
              </w:rPr>
              <w:t>an</w:t>
            </w:r>
            <w:r w:rsidRPr="00620A7F">
              <w:rPr>
                <w:rFonts w:ascii="Candara" w:hAnsi="Candara"/>
                <w:spacing w:val="-3"/>
                <w:w w:val="102"/>
                <w:sz w:val="20"/>
                <w:szCs w:val="20"/>
              </w:rPr>
              <w:t>gg</w:t>
            </w:r>
            <w:r w:rsidRPr="00620A7F">
              <w:rPr>
                <w:rFonts w:ascii="Candara" w:hAnsi="Candara"/>
                <w:w w:val="102"/>
                <w:sz w:val="20"/>
                <w:szCs w:val="20"/>
              </w:rPr>
              <w:t>u</w:t>
            </w:r>
            <w:r w:rsidRPr="00620A7F">
              <w:rPr>
                <w:rFonts w:ascii="Candara" w:hAnsi="Candara"/>
                <w:spacing w:val="2"/>
                <w:w w:val="102"/>
                <w:sz w:val="20"/>
                <w:szCs w:val="20"/>
              </w:rPr>
              <w:t>n</w:t>
            </w:r>
            <w:r w:rsidRPr="00620A7F">
              <w:rPr>
                <w:rFonts w:ascii="Candara" w:hAnsi="Candara"/>
                <w:w w:val="102"/>
                <w:sz w:val="20"/>
                <w:szCs w:val="20"/>
              </w:rPr>
              <w:t>g</w:t>
            </w:r>
            <w:proofErr w:type="spellEnd"/>
            <w:r w:rsidRPr="00620A7F">
              <w:rPr>
                <w:rFonts w:ascii="Candara" w:hAnsi="Candara"/>
                <w:w w:val="102"/>
                <w:sz w:val="20"/>
                <w:szCs w:val="20"/>
              </w:rPr>
              <w:t xml:space="preserve"> </w:t>
            </w:r>
            <w:proofErr w:type="spellStart"/>
            <w:r w:rsidRPr="00620A7F">
              <w:rPr>
                <w:rFonts w:ascii="Candara" w:hAnsi="Candara"/>
                <w:sz w:val="20"/>
                <w:szCs w:val="20"/>
              </w:rPr>
              <w:t>jaw</w:t>
            </w:r>
            <w:r w:rsidRPr="00620A7F">
              <w:rPr>
                <w:rFonts w:ascii="Candara" w:hAnsi="Candara"/>
                <w:spacing w:val="3"/>
                <w:sz w:val="20"/>
                <w:szCs w:val="20"/>
              </w:rPr>
              <w:t>a</w:t>
            </w:r>
            <w:r w:rsidRPr="00620A7F">
              <w:rPr>
                <w:rFonts w:ascii="Candara" w:hAnsi="Candara"/>
                <w:sz w:val="20"/>
                <w:szCs w:val="20"/>
              </w:rPr>
              <w:t>b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620A7F">
              <w:rPr>
                <w:rFonts w:ascii="Candara" w:hAnsi="Candara"/>
                <w:spacing w:val="-2"/>
                <w:w w:val="102"/>
                <w:sz w:val="20"/>
                <w:szCs w:val="20"/>
              </w:rPr>
              <w:t>se</w:t>
            </w:r>
            <w:r w:rsidRPr="00620A7F">
              <w:rPr>
                <w:rFonts w:ascii="Candara" w:hAnsi="Candara"/>
                <w:spacing w:val="3"/>
                <w:w w:val="102"/>
                <w:sz w:val="20"/>
                <w:szCs w:val="20"/>
              </w:rPr>
              <w:t>c</w:t>
            </w:r>
            <w:r w:rsidRPr="00620A7F">
              <w:rPr>
                <w:rFonts w:ascii="Candara" w:hAnsi="Candara"/>
                <w:w w:val="102"/>
                <w:sz w:val="20"/>
                <w:szCs w:val="20"/>
              </w:rPr>
              <w:t>a</w:t>
            </w:r>
            <w:r w:rsidRPr="00620A7F">
              <w:rPr>
                <w:rFonts w:ascii="Candara" w:hAnsi="Candara"/>
                <w:spacing w:val="-1"/>
                <w:w w:val="102"/>
                <w:sz w:val="20"/>
                <w:szCs w:val="20"/>
              </w:rPr>
              <w:t>r</w:t>
            </w:r>
            <w:r w:rsidRPr="00620A7F">
              <w:rPr>
                <w:rFonts w:ascii="Candara" w:hAnsi="Candara"/>
                <w:w w:val="102"/>
                <w:sz w:val="20"/>
                <w:szCs w:val="20"/>
              </w:rPr>
              <w:t>a</w:t>
            </w:r>
            <w:proofErr w:type="spellEnd"/>
            <w:r w:rsidRPr="00620A7F">
              <w:rPr>
                <w:rFonts w:ascii="Candara" w:hAnsi="Candara"/>
                <w:w w:val="102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professional </w:t>
            </w:r>
            <w:proofErr w:type="spellStart"/>
            <w:r w:rsidRPr="00620A7F">
              <w:rPr>
                <w:rFonts w:ascii="Candara" w:hAnsi="Candara"/>
                <w:spacing w:val="-3"/>
                <w:w w:val="102"/>
                <w:sz w:val="20"/>
                <w:szCs w:val="20"/>
              </w:rPr>
              <w:t>d</w:t>
            </w:r>
            <w:r w:rsidRPr="00620A7F">
              <w:rPr>
                <w:rFonts w:ascii="Candara" w:hAnsi="Candara"/>
                <w:w w:val="102"/>
                <w:sz w:val="20"/>
                <w:szCs w:val="20"/>
              </w:rPr>
              <w:t>an</w:t>
            </w:r>
            <w:proofErr w:type="spellEnd"/>
            <w:r w:rsidRPr="00620A7F">
              <w:rPr>
                <w:rFonts w:ascii="Candara" w:hAnsi="Candara"/>
                <w:w w:val="102"/>
                <w:sz w:val="20"/>
                <w:szCs w:val="20"/>
              </w:rPr>
              <w:t xml:space="preserve"> </w:t>
            </w:r>
            <w:proofErr w:type="spellStart"/>
            <w:r w:rsidRPr="00620A7F">
              <w:rPr>
                <w:rFonts w:ascii="Candara" w:hAnsi="Candara"/>
                <w:sz w:val="20"/>
                <w:szCs w:val="20"/>
              </w:rPr>
              <w:t>et</w:t>
            </w:r>
            <w:r w:rsidRPr="00620A7F">
              <w:rPr>
                <w:rFonts w:ascii="Candara" w:hAnsi="Candara"/>
                <w:spacing w:val="2"/>
                <w:sz w:val="20"/>
                <w:szCs w:val="20"/>
              </w:rPr>
              <w:t>i</w:t>
            </w:r>
            <w:r w:rsidRPr="00620A7F">
              <w:rPr>
                <w:rFonts w:ascii="Candara" w:hAnsi="Candara"/>
                <w:sz w:val="20"/>
                <w:szCs w:val="20"/>
              </w:rPr>
              <w:t>k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620A7F">
              <w:rPr>
                <w:rFonts w:ascii="Candara" w:hAnsi="Candara"/>
                <w:w w:val="103"/>
                <w:sz w:val="20"/>
                <w:szCs w:val="20"/>
              </w:rPr>
              <w:t>t</w:t>
            </w:r>
            <w:r w:rsidRPr="00620A7F">
              <w:rPr>
                <w:rFonts w:ascii="Candara" w:hAnsi="Candara"/>
                <w:w w:val="102"/>
                <w:sz w:val="20"/>
                <w:szCs w:val="20"/>
              </w:rPr>
              <w:t>e</w:t>
            </w:r>
            <w:r w:rsidRPr="00620A7F">
              <w:rPr>
                <w:rFonts w:ascii="Candara" w:hAnsi="Candara"/>
                <w:spacing w:val="-1"/>
                <w:w w:val="102"/>
                <w:sz w:val="20"/>
                <w:szCs w:val="20"/>
              </w:rPr>
              <w:t>r</w:t>
            </w:r>
            <w:r w:rsidRPr="00620A7F">
              <w:rPr>
                <w:rFonts w:ascii="Candara" w:hAnsi="Candara"/>
                <w:w w:val="102"/>
                <w:sz w:val="20"/>
                <w:szCs w:val="20"/>
              </w:rPr>
              <w:t>h</w:t>
            </w:r>
            <w:r w:rsidRPr="00620A7F">
              <w:rPr>
                <w:rFonts w:ascii="Candara" w:hAnsi="Candara"/>
                <w:spacing w:val="3"/>
                <w:w w:val="102"/>
                <w:sz w:val="20"/>
                <w:szCs w:val="20"/>
              </w:rPr>
              <w:t>a</w:t>
            </w:r>
            <w:r w:rsidRPr="00620A7F">
              <w:rPr>
                <w:rFonts w:ascii="Candara" w:hAnsi="Candara"/>
                <w:spacing w:val="-3"/>
                <w:w w:val="102"/>
                <w:sz w:val="20"/>
                <w:szCs w:val="20"/>
              </w:rPr>
              <w:t>d</w:t>
            </w:r>
            <w:r w:rsidRPr="00620A7F">
              <w:rPr>
                <w:rFonts w:ascii="Candara" w:hAnsi="Candara"/>
                <w:w w:val="102"/>
                <w:sz w:val="20"/>
                <w:szCs w:val="20"/>
              </w:rPr>
              <w:t>ap</w:t>
            </w:r>
            <w:proofErr w:type="spellEnd"/>
            <w:r w:rsidRPr="00620A7F">
              <w:rPr>
                <w:rFonts w:ascii="Candara" w:hAnsi="Candara"/>
                <w:w w:val="102"/>
                <w:sz w:val="20"/>
                <w:szCs w:val="20"/>
              </w:rPr>
              <w:t xml:space="preserve"> </w:t>
            </w:r>
            <w:proofErr w:type="spellStart"/>
            <w:r w:rsidRPr="00620A7F">
              <w:rPr>
                <w:rFonts w:ascii="Candara" w:hAnsi="Candara"/>
                <w:sz w:val="20"/>
                <w:szCs w:val="20"/>
              </w:rPr>
              <w:t>pencapaian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620A7F">
              <w:rPr>
                <w:rFonts w:ascii="Candara" w:hAnsi="Candara"/>
                <w:bCs/>
                <w:spacing w:val="-1"/>
                <w:w w:val="102"/>
                <w:sz w:val="20"/>
                <w:szCs w:val="20"/>
              </w:rPr>
              <w:t>h</w:t>
            </w:r>
            <w:r w:rsidRPr="00620A7F">
              <w:rPr>
                <w:rFonts w:ascii="Candara" w:hAnsi="Candara"/>
                <w:bCs/>
                <w:w w:val="102"/>
                <w:sz w:val="20"/>
                <w:szCs w:val="20"/>
              </w:rPr>
              <w:t>a</w:t>
            </w:r>
            <w:r w:rsidRPr="00620A7F">
              <w:rPr>
                <w:rFonts w:ascii="Candara" w:hAnsi="Candara"/>
                <w:bCs/>
                <w:spacing w:val="-2"/>
                <w:w w:val="102"/>
                <w:sz w:val="20"/>
                <w:szCs w:val="20"/>
              </w:rPr>
              <w:t>s</w:t>
            </w:r>
            <w:r w:rsidRPr="00620A7F">
              <w:rPr>
                <w:rFonts w:ascii="Candara" w:hAnsi="Candara"/>
                <w:bCs/>
                <w:spacing w:val="2"/>
                <w:w w:val="103"/>
                <w:sz w:val="20"/>
                <w:szCs w:val="20"/>
              </w:rPr>
              <w:t>i</w:t>
            </w:r>
            <w:r w:rsidRPr="00620A7F">
              <w:rPr>
                <w:rFonts w:ascii="Candara" w:hAnsi="Candara"/>
                <w:bCs/>
                <w:w w:val="103"/>
                <w:sz w:val="20"/>
                <w:szCs w:val="20"/>
              </w:rPr>
              <w:t>l</w:t>
            </w:r>
            <w:proofErr w:type="spellEnd"/>
            <w:r w:rsidRPr="00620A7F">
              <w:rPr>
                <w:rFonts w:ascii="Candara" w:hAnsi="Candara"/>
                <w:bCs/>
                <w:w w:val="103"/>
                <w:sz w:val="20"/>
                <w:szCs w:val="20"/>
              </w:rPr>
              <w:t xml:space="preserve"> </w:t>
            </w:r>
            <w:proofErr w:type="spellStart"/>
            <w:r w:rsidRPr="00620A7F">
              <w:rPr>
                <w:rFonts w:ascii="Candara" w:hAnsi="Candara"/>
                <w:bCs/>
                <w:spacing w:val="-3"/>
                <w:sz w:val="20"/>
                <w:szCs w:val="20"/>
              </w:rPr>
              <w:t>k</w:t>
            </w:r>
            <w:r w:rsidRPr="00620A7F">
              <w:rPr>
                <w:rFonts w:ascii="Candara" w:hAnsi="Candara"/>
                <w:bCs/>
                <w:spacing w:val="3"/>
                <w:sz w:val="20"/>
                <w:szCs w:val="20"/>
              </w:rPr>
              <w:t>e</w:t>
            </w:r>
            <w:r w:rsidRPr="00620A7F">
              <w:rPr>
                <w:rFonts w:ascii="Candara" w:hAnsi="Candara"/>
                <w:bCs/>
                <w:sz w:val="20"/>
                <w:szCs w:val="20"/>
              </w:rPr>
              <w:t>r</w:t>
            </w:r>
            <w:r w:rsidRPr="00620A7F">
              <w:rPr>
                <w:rFonts w:ascii="Candara" w:hAnsi="Candara"/>
                <w:bCs/>
                <w:spacing w:val="-1"/>
                <w:sz w:val="20"/>
                <w:szCs w:val="20"/>
              </w:rPr>
              <w:t>j</w:t>
            </w:r>
            <w:r w:rsidRPr="00620A7F">
              <w:rPr>
                <w:rFonts w:ascii="Candara" w:hAnsi="Candara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="Candara" w:hAnsi="Candara"/>
                <w:bCs/>
                <w:sz w:val="20"/>
                <w:szCs w:val="20"/>
              </w:rPr>
              <w:t xml:space="preserve"> </w:t>
            </w:r>
            <w:proofErr w:type="spellStart"/>
            <w:r w:rsidRPr="00620A7F">
              <w:rPr>
                <w:rFonts w:ascii="Candara" w:hAnsi="Candara"/>
                <w:bCs/>
                <w:w w:val="103"/>
                <w:sz w:val="20"/>
                <w:szCs w:val="20"/>
              </w:rPr>
              <w:t>i</w:t>
            </w:r>
            <w:r w:rsidRPr="00620A7F">
              <w:rPr>
                <w:rFonts w:ascii="Candara" w:hAnsi="Candara"/>
                <w:bCs/>
                <w:spacing w:val="-1"/>
                <w:w w:val="102"/>
                <w:sz w:val="20"/>
                <w:szCs w:val="20"/>
              </w:rPr>
              <w:t>nd</w:t>
            </w:r>
            <w:r w:rsidRPr="00620A7F">
              <w:rPr>
                <w:rFonts w:ascii="Candara" w:hAnsi="Candara"/>
                <w:bCs/>
                <w:w w:val="103"/>
                <w:sz w:val="20"/>
                <w:szCs w:val="20"/>
              </w:rPr>
              <w:t>i</w:t>
            </w:r>
            <w:r w:rsidRPr="00620A7F">
              <w:rPr>
                <w:rFonts w:ascii="Candara" w:hAnsi="Candara"/>
                <w:bCs/>
                <w:w w:val="102"/>
                <w:sz w:val="20"/>
                <w:szCs w:val="20"/>
              </w:rPr>
              <w:t>v</w:t>
            </w:r>
            <w:r w:rsidRPr="00620A7F">
              <w:rPr>
                <w:rFonts w:ascii="Candara" w:hAnsi="Candara"/>
                <w:bCs/>
                <w:spacing w:val="2"/>
                <w:w w:val="103"/>
                <w:sz w:val="20"/>
                <w:szCs w:val="20"/>
              </w:rPr>
              <w:t>i</w:t>
            </w:r>
            <w:r w:rsidRPr="00620A7F">
              <w:rPr>
                <w:rFonts w:ascii="Candara" w:hAnsi="Candara"/>
                <w:bCs/>
                <w:spacing w:val="-1"/>
                <w:w w:val="102"/>
                <w:sz w:val="20"/>
                <w:szCs w:val="20"/>
              </w:rPr>
              <w:t>d</w:t>
            </w:r>
            <w:r w:rsidRPr="00620A7F">
              <w:rPr>
                <w:rFonts w:ascii="Candara" w:hAnsi="Candara"/>
                <w:bCs/>
                <w:w w:val="102"/>
                <w:sz w:val="20"/>
                <w:szCs w:val="20"/>
              </w:rPr>
              <w:t>u</w:t>
            </w:r>
            <w:proofErr w:type="spellEnd"/>
            <w:r>
              <w:rPr>
                <w:rFonts w:ascii="Candara" w:hAnsi="Candara"/>
                <w:bCs/>
                <w:w w:val="102"/>
                <w:sz w:val="20"/>
                <w:szCs w:val="20"/>
              </w:rPr>
              <w:t>.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P3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620A7F" w:rsidRDefault="00620A7F" w:rsidP="00620A7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Candara" w:hAnsi="Candara"/>
                <w:bCs/>
                <w:w w:val="102"/>
                <w:sz w:val="20"/>
                <w:szCs w:val="20"/>
              </w:rPr>
            </w:pPr>
            <w:proofErr w:type="spellStart"/>
            <w:r w:rsidRPr="00620A7F">
              <w:rPr>
                <w:rFonts w:ascii="Candara" w:hAnsi="Candara"/>
                <w:w w:val="102"/>
                <w:sz w:val="20"/>
                <w:szCs w:val="20"/>
              </w:rPr>
              <w:t>Be</w:t>
            </w:r>
            <w:r w:rsidRPr="00620A7F">
              <w:rPr>
                <w:rFonts w:ascii="Candara" w:hAnsi="Candara"/>
                <w:spacing w:val="-1"/>
                <w:w w:val="102"/>
                <w:sz w:val="20"/>
                <w:szCs w:val="20"/>
              </w:rPr>
              <w:t>r</w:t>
            </w:r>
            <w:r w:rsidRPr="00620A7F">
              <w:rPr>
                <w:rFonts w:ascii="Candara" w:hAnsi="Candara"/>
                <w:spacing w:val="2"/>
                <w:w w:val="103"/>
                <w:sz w:val="20"/>
                <w:szCs w:val="20"/>
              </w:rPr>
              <w:t>t</w:t>
            </w:r>
            <w:r w:rsidRPr="00620A7F">
              <w:rPr>
                <w:rFonts w:ascii="Candara" w:hAnsi="Candara"/>
                <w:w w:val="102"/>
                <w:sz w:val="20"/>
                <w:szCs w:val="20"/>
              </w:rPr>
              <w:t>an</w:t>
            </w:r>
            <w:r w:rsidRPr="00620A7F">
              <w:rPr>
                <w:rFonts w:ascii="Candara" w:hAnsi="Candara"/>
                <w:spacing w:val="-3"/>
                <w:w w:val="102"/>
                <w:sz w:val="20"/>
                <w:szCs w:val="20"/>
              </w:rPr>
              <w:t>gg</w:t>
            </w:r>
            <w:r w:rsidRPr="00620A7F">
              <w:rPr>
                <w:rFonts w:ascii="Candara" w:hAnsi="Candara"/>
                <w:w w:val="102"/>
                <w:sz w:val="20"/>
                <w:szCs w:val="20"/>
              </w:rPr>
              <w:t>u</w:t>
            </w:r>
            <w:r w:rsidRPr="00620A7F">
              <w:rPr>
                <w:rFonts w:ascii="Candara" w:hAnsi="Candara"/>
                <w:spacing w:val="2"/>
                <w:w w:val="102"/>
                <w:sz w:val="20"/>
                <w:szCs w:val="20"/>
              </w:rPr>
              <w:t>n</w:t>
            </w:r>
            <w:r w:rsidRPr="00620A7F">
              <w:rPr>
                <w:rFonts w:ascii="Candara" w:hAnsi="Candara"/>
                <w:w w:val="102"/>
                <w:sz w:val="20"/>
                <w:szCs w:val="20"/>
              </w:rPr>
              <w:t>g</w:t>
            </w:r>
            <w:proofErr w:type="spellEnd"/>
            <w:r>
              <w:rPr>
                <w:rFonts w:ascii="Candara" w:hAnsi="Candara"/>
                <w:w w:val="102"/>
                <w:sz w:val="20"/>
                <w:szCs w:val="20"/>
              </w:rPr>
              <w:t xml:space="preserve"> </w:t>
            </w:r>
            <w:proofErr w:type="spellStart"/>
            <w:r w:rsidRPr="00620A7F">
              <w:rPr>
                <w:rFonts w:ascii="Candara" w:hAnsi="Candara"/>
                <w:sz w:val="20"/>
                <w:szCs w:val="20"/>
              </w:rPr>
              <w:t>jaw</w:t>
            </w:r>
            <w:r w:rsidRPr="00620A7F">
              <w:rPr>
                <w:rFonts w:ascii="Candara" w:hAnsi="Candara"/>
                <w:spacing w:val="3"/>
                <w:sz w:val="20"/>
                <w:szCs w:val="20"/>
              </w:rPr>
              <w:t>a</w:t>
            </w:r>
            <w:r w:rsidRPr="00620A7F">
              <w:rPr>
                <w:rFonts w:ascii="Candara" w:hAnsi="Candara"/>
                <w:sz w:val="20"/>
                <w:szCs w:val="20"/>
              </w:rPr>
              <w:t>b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620A7F">
              <w:rPr>
                <w:rFonts w:ascii="Candara" w:hAnsi="Candara"/>
                <w:spacing w:val="-2"/>
                <w:w w:val="102"/>
                <w:sz w:val="20"/>
                <w:szCs w:val="20"/>
              </w:rPr>
              <w:t>se</w:t>
            </w:r>
            <w:r w:rsidRPr="00620A7F">
              <w:rPr>
                <w:rFonts w:ascii="Candara" w:hAnsi="Candara"/>
                <w:spacing w:val="3"/>
                <w:w w:val="102"/>
                <w:sz w:val="20"/>
                <w:szCs w:val="20"/>
              </w:rPr>
              <w:t>c</w:t>
            </w:r>
            <w:r w:rsidRPr="00620A7F">
              <w:rPr>
                <w:rFonts w:ascii="Candara" w:hAnsi="Candara"/>
                <w:w w:val="102"/>
                <w:sz w:val="20"/>
                <w:szCs w:val="20"/>
              </w:rPr>
              <w:t>a</w:t>
            </w:r>
            <w:r w:rsidRPr="00620A7F">
              <w:rPr>
                <w:rFonts w:ascii="Candara" w:hAnsi="Candara"/>
                <w:spacing w:val="-1"/>
                <w:w w:val="102"/>
                <w:sz w:val="20"/>
                <w:szCs w:val="20"/>
              </w:rPr>
              <w:t>r</w:t>
            </w:r>
            <w:r w:rsidRPr="00620A7F">
              <w:rPr>
                <w:rFonts w:ascii="Candara" w:hAnsi="Candara"/>
                <w:w w:val="102"/>
                <w:sz w:val="20"/>
                <w:szCs w:val="20"/>
              </w:rPr>
              <w:t>a</w:t>
            </w:r>
            <w:proofErr w:type="spellEnd"/>
            <w:r w:rsidRPr="00620A7F">
              <w:rPr>
                <w:rFonts w:ascii="Candara" w:hAnsi="Candara"/>
                <w:w w:val="102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professional </w:t>
            </w:r>
            <w:proofErr w:type="spellStart"/>
            <w:r w:rsidRPr="00620A7F">
              <w:rPr>
                <w:rFonts w:ascii="Candara" w:hAnsi="Candara"/>
                <w:spacing w:val="-3"/>
                <w:w w:val="102"/>
                <w:sz w:val="20"/>
                <w:szCs w:val="20"/>
              </w:rPr>
              <w:t>d</w:t>
            </w:r>
            <w:r w:rsidRPr="00620A7F">
              <w:rPr>
                <w:rFonts w:ascii="Candara" w:hAnsi="Candara"/>
                <w:w w:val="102"/>
                <w:sz w:val="20"/>
                <w:szCs w:val="20"/>
              </w:rPr>
              <w:t>an</w:t>
            </w:r>
            <w:proofErr w:type="spellEnd"/>
            <w:r w:rsidRPr="00620A7F">
              <w:rPr>
                <w:rFonts w:ascii="Candara" w:hAnsi="Candara"/>
                <w:w w:val="102"/>
                <w:sz w:val="20"/>
                <w:szCs w:val="20"/>
              </w:rPr>
              <w:t xml:space="preserve"> </w:t>
            </w:r>
            <w:proofErr w:type="spellStart"/>
            <w:r w:rsidRPr="00620A7F">
              <w:rPr>
                <w:rFonts w:ascii="Candara" w:hAnsi="Candara"/>
                <w:sz w:val="20"/>
                <w:szCs w:val="20"/>
              </w:rPr>
              <w:t>et</w:t>
            </w:r>
            <w:r w:rsidRPr="00620A7F">
              <w:rPr>
                <w:rFonts w:ascii="Candara" w:hAnsi="Candara"/>
                <w:spacing w:val="2"/>
                <w:sz w:val="20"/>
                <w:szCs w:val="20"/>
              </w:rPr>
              <w:t>i</w:t>
            </w:r>
            <w:r w:rsidRPr="00620A7F">
              <w:rPr>
                <w:rFonts w:ascii="Candara" w:hAnsi="Candara"/>
                <w:sz w:val="20"/>
                <w:szCs w:val="20"/>
              </w:rPr>
              <w:t>k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620A7F">
              <w:rPr>
                <w:rFonts w:ascii="Candara" w:hAnsi="Candara"/>
                <w:w w:val="103"/>
                <w:sz w:val="20"/>
                <w:szCs w:val="20"/>
              </w:rPr>
              <w:t>t</w:t>
            </w:r>
            <w:r w:rsidRPr="00620A7F">
              <w:rPr>
                <w:rFonts w:ascii="Candara" w:hAnsi="Candara"/>
                <w:w w:val="102"/>
                <w:sz w:val="20"/>
                <w:szCs w:val="20"/>
              </w:rPr>
              <w:t>e</w:t>
            </w:r>
            <w:r w:rsidRPr="00620A7F">
              <w:rPr>
                <w:rFonts w:ascii="Candara" w:hAnsi="Candara"/>
                <w:spacing w:val="-1"/>
                <w:w w:val="102"/>
                <w:sz w:val="20"/>
                <w:szCs w:val="20"/>
              </w:rPr>
              <w:t>r</w:t>
            </w:r>
            <w:r w:rsidRPr="00620A7F">
              <w:rPr>
                <w:rFonts w:ascii="Candara" w:hAnsi="Candara"/>
                <w:w w:val="102"/>
                <w:sz w:val="20"/>
                <w:szCs w:val="20"/>
              </w:rPr>
              <w:t>h</w:t>
            </w:r>
            <w:r w:rsidRPr="00620A7F">
              <w:rPr>
                <w:rFonts w:ascii="Candara" w:hAnsi="Candara"/>
                <w:spacing w:val="3"/>
                <w:w w:val="102"/>
                <w:sz w:val="20"/>
                <w:szCs w:val="20"/>
              </w:rPr>
              <w:t>a</w:t>
            </w:r>
            <w:r w:rsidRPr="00620A7F">
              <w:rPr>
                <w:rFonts w:ascii="Candara" w:hAnsi="Candara"/>
                <w:spacing w:val="-3"/>
                <w:w w:val="102"/>
                <w:sz w:val="20"/>
                <w:szCs w:val="20"/>
              </w:rPr>
              <w:t>d</w:t>
            </w:r>
            <w:r w:rsidRPr="00620A7F">
              <w:rPr>
                <w:rFonts w:ascii="Candara" w:hAnsi="Candara"/>
                <w:w w:val="102"/>
                <w:sz w:val="20"/>
                <w:szCs w:val="20"/>
              </w:rPr>
              <w:t>ap</w:t>
            </w:r>
            <w:proofErr w:type="spellEnd"/>
            <w:r w:rsidRPr="00620A7F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620A7F">
              <w:rPr>
                <w:rFonts w:ascii="Candara" w:hAnsi="Candara"/>
                <w:sz w:val="20"/>
                <w:szCs w:val="20"/>
              </w:rPr>
              <w:t>pencapaian</w:t>
            </w:r>
            <w:proofErr w:type="spellEnd"/>
            <w:r w:rsidRPr="00620A7F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620A7F">
              <w:rPr>
                <w:rFonts w:ascii="Candara" w:hAnsi="Candara"/>
                <w:bCs/>
                <w:spacing w:val="-1"/>
                <w:w w:val="102"/>
                <w:sz w:val="20"/>
                <w:szCs w:val="20"/>
              </w:rPr>
              <w:t>h</w:t>
            </w:r>
            <w:r w:rsidRPr="00620A7F">
              <w:rPr>
                <w:rFonts w:ascii="Candara" w:hAnsi="Candara"/>
                <w:bCs/>
                <w:w w:val="102"/>
                <w:sz w:val="20"/>
                <w:szCs w:val="20"/>
              </w:rPr>
              <w:t>a</w:t>
            </w:r>
            <w:r w:rsidRPr="00620A7F">
              <w:rPr>
                <w:rFonts w:ascii="Candara" w:hAnsi="Candara"/>
                <w:bCs/>
                <w:spacing w:val="-2"/>
                <w:w w:val="102"/>
                <w:sz w:val="20"/>
                <w:szCs w:val="20"/>
              </w:rPr>
              <w:t>s</w:t>
            </w:r>
            <w:r w:rsidRPr="00620A7F">
              <w:rPr>
                <w:rFonts w:ascii="Candara" w:hAnsi="Candara"/>
                <w:bCs/>
                <w:spacing w:val="2"/>
                <w:w w:val="103"/>
                <w:sz w:val="20"/>
                <w:szCs w:val="20"/>
              </w:rPr>
              <w:t>i</w:t>
            </w:r>
            <w:r w:rsidRPr="00620A7F">
              <w:rPr>
                <w:rFonts w:ascii="Candara" w:hAnsi="Candara"/>
                <w:bCs/>
                <w:w w:val="103"/>
                <w:sz w:val="20"/>
                <w:szCs w:val="20"/>
              </w:rPr>
              <w:t>l</w:t>
            </w:r>
            <w:proofErr w:type="spellEnd"/>
            <w:r w:rsidRPr="00620A7F">
              <w:rPr>
                <w:rFonts w:ascii="Candara" w:hAnsi="Candara"/>
                <w:bCs/>
                <w:w w:val="103"/>
                <w:sz w:val="20"/>
                <w:szCs w:val="20"/>
              </w:rPr>
              <w:t xml:space="preserve"> </w:t>
            </w:r>
            <w:proofErr w:type="spellStart"/>
            <w:r w:rsidRPr="00620A7F">
              <w:rPr>
                <w:rFonts w:ascii="Candara" w:hAnsi="Candara"/>
                <w:bCs/>
                <w:spacing w:val="-3"/>
                <w:w w:val="102"/>
                <w:sz w:val="20"/>
                <w:szCs w:val="20"/>
              </w:rPr>
              <w:t>k</w:t>
            </w:r>
            <w:r w:rsidRPr="00620A7F">
              <w:rPr>
                <w:rFonts w:ascii="Candara" w:hAnsi="Candara"/>
                <w:bCs/>
                <w:spacing w:val="3"/>
                <w:w w:val="102"/>
                <w:sz w:val="20"/>
                <w:szCs w:val="20"/>
              </w:rPr>
              <w:t>e</w:t>
            </w:r>
            <w:r w:rsidRPr="00620A7F">
              <w:rPr>
                <w:rFonts w:ascii="Candara" w:hAnsi="Candara"/>
                <w:bCs/>
                <w:w w:val="103"/>
                <w:sz w:val="20"/>
                <w:szCs w:val="20"/>
              </w:rPr>
              <w:t>l</w:t>
            </w:r>
            <w:r w:rsidRPr="00620A7F">
              <w:rPr>
                <w:rFonts w:ascii="Candara" w:hAnsi="Candara"/>
                <w:bCs/>
                <w:w w:val="102"/>
                <w:sz w:val="20"/>
                <w:szCs w:val="20"/>
              </w:rPr>
              <w:t>o</w:t>
            </w:r>
            <w:r w:rsidRPr="00620A7F">
              <w:rPr>
                <w:rFonts w:ascii="Candara" w:hAnsi="Candara"/>
                <w:bCs/>
                <w:spacing w:val="-1"/>
                <w:w w:val="102"/>
                <w:sz w:val="20"/>
                <w:szCs w:val="20"/>
              </w:rPr>
              <w:t>mp</w:t>
            </w:r>
            <w:r w:rsidRPr="00620A7F">
              <w:rPr>
                <w:rFonts w:ascii="Candara" w:hAnsi="Candara"/>
                <w:bCs/>
                <w:w w:val="102"/>
                <w:sz w:val="20"/>
                <w:szCs w:val="20"/>
              </w:rPr>
              <w:t>ok</w:t>
            </w:r>
            <w:proofErr w:type="spellEnd"/>
            <w:r w:rsidRPr="00620A7F">
              <w:rPr>
                <w:rFonts w:ascii="Candara" w:hAnsi="Candara"/>
                <w:bCs/>
                <w:w w:val="102"/>
                <w:sz w:val="20"/>
                <w:szCs w:val="20"/>
              </w:rPr>
              <w:t>;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KU1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620A7F" w:rsidRDefault="00620A7F" w:rsidP="00620A7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Candara" w:hAnsi="Candara"/>
                <w:bCs/>
                <w:w w:val="102"/>
                <w:sz w:val="20"/>
                <w:szCs w:val="20"/>
              </w:rPr>
            </w:pPr>
            <w:proofErr w:type="spellStart"/>
            <w:r w:rsidRPr="00620A7F">
              <w:rPr>
                <w:rFonts w:ascii="Candara" w:hAnsi="Candara"/>
                <w:bCs/>
                <w:w w:val="102"/>
                <w:sz w:val="20"/>
                <w:szCs w:val="20"/>
              </w:rPr>
              <w:t>Bersikap</w:t>
            </w:r>
            <w:proofErr w:type="spellEnd"/>
            <w:r w:rsidRPr="00620A7F">
              <w:rPr>
                <w:rFonts w:ascii="Candara" w:hAnsi="Candara"/>
                <w:bCs/>
                <w:w w:val="102"/>
                <w:sz w:val="20"/>
                <w:szCs w:val="20"/>
              </w:rPr>
              <w:t xml:space="preserve"> </w:t>
            </w:r>
            <w:proofErr w:type="spellStart"/>
            <w:r w:rsidRPr="00620A7F">
              <w:rPr>
                <w:rFonts w:ascii="Candara" w:hAnsi="Candara"/>
                <w:bCs/>
                <w:w w:val="102"/>
                <w:sz w:val="20"/>
                <w:szCs w:val="20"/>
              </w:rPr>
              <w:t>sesuai</w:t>
            </w:r>
            <w:proofErr w:type="spellEnd"/>
            <w:r w:rsidRPr="00620A7F">
              <w:rPr>
                <w:rFonts w:ascii="Candara" w:hAnsi="Candara"/>
                <w:bCs/>
                <w:w w:val="102"/>
                <w:sz w:val="20"/>
                <w:szCs w:val="20"/>
              </w:rPr>
              <w:t xml:space="preserve"> </w:t>
            </w:r>
            <w:proofErr w:type="spellStart"/>
            <w:r w:rsidRPr="00620A7F">
              <w:rPr>
                <w:rFonts w:ascii="Candara" w:hAnsi="Candara"/>
                <w:bCs/>
                <w:w w:val="102"/>
                <w:sz w:val="20"/>
                <w:szCs w:val="20"/>
              </w:rPr>
              <w:t>dengan</w:t>
            </w:r>
            <w:proofErr w:type="spellEnd"/>
            <w:r w:rsidRPr="00620A7F">
              <w:rPr>
                <w:rFonts w:ascii="Candara" w:hAnsi="Candara"/>
                <w:bCs/>
                <w:w w:val="102"/>
                <w:sz w:val="20"/>
                <w:szCs w:val="20"/>
              </w:rPr>
              <w:t xml:space="preserve"> </w:t>
            </w:r>
            <w:proofErr w:type="spellStart"/>
            <w:r w:rsidRPr="00620A7F">
              <w:rPr>
                <w:rFonts w:ascii="Candara" w:hAnsi="Candara"/>
                <w:bCs/>
                <w:w w:val="102"/>
                <w:sz w:val="20"/>
                <w:szCs w:val="20"/>
              </w:rPr>
              <w:t>tuntutan</w:t>
            </w:r>
            <w:proofErr w:type="spellEnd"/>
            <w:r w:rsidRPr="00620A7F">
              <w:rPr>
                <w:rFonts w:ascii="Candara" w:hAnsi="Candara"/>
                <w:bCs/>
                <w:w w:val="102"/>
                <w:sz w:val="20"/>
                <w:szCs w:val="20"/>
              </w:rPr>
              <w:t xml:space="preserve"> </w:t>
            </w:r>
            <w:proofErr w:type="spellStart"/>
            <w:r w:rsidRPr="00620A7F">
              <w:rPr>
                <w:rFonts w:ascii="Candara" w:hAnsi="Candara"/>
                <w:bCs/>
                <w:w w:val="102"/>
                <w:sz w:val="20"/>
                <w:szCs w:val="20"/>
              </w:rPr>
              <w:t>sosial</w:t>
            </w:r>
            <w:proofErr w:type="spellEnd"/>
            <w:r w:rsidRPr="00620A7F">
              <w:rPr>
                <w:rFonts w:ascii="Candara" w:hAnsi="Candara"/>
                <w:bCs/>
                <w:w w:val="102"/>
                <w:sz w:val="20"/>
                <w:szCs w:val="20"/>
              </w:rPr>
              <w:t>;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KU2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A3DA9" w:rsidRDefault="00620A7F" w:rsidP="003A3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25058">
              <w:rPr>
                <w:rFonts w:ascii="Candara" w:hAnsi="Candara"/>
                <w:bCs/>
                <w:w w:val="102"/>
                <w:sz w:val="20"/>
                <w:szCs w:val="20"/>
              </w:rPr>
              <w:t>Bersikap</w:t>
            </w:r>
            <w:proofErr w:type="spellEnd"/>
            <w:r w:rsidRPr="00725058">
              <w:rPr>
                <w:rFonts w:ascii="Candara" w:hAnsi="Candara"/>
                <w:bCs/>
                <w:w w:val="102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bCs/>
                <w:w w:val="102"/>
                <w:sz w:val="20"/>
                <w:szCs w:val="20"/>
              </w:rPr>
              <w:t>sesuai</w:t>
            </w:r>
            <w:proofErr w:type="spellEnd"/>
            <w:r w:rsidRPr="00725058">
              <w:rPr>
                <w:rFonts w:ascii="Candara" w:hAnsi="Candara"/>
                <w:bCs/>
                <w:w w:val="102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bCs/>
                <w:w w:val="102"/>
                <w:sz w:val="20"/>
                <w:szCs w:val="20"/>
              </w:rPr>
              <w:t>dengan</w:t>
            </w:r>
            <w:proofErr w:type="spellEnd"/>
            <w:r w:rsidRPr="00725058">
              <w:rPr>
                <w:rFonts w:ascii="Candara" w:hAnsi="Candara"/>
                <w:bCs/>
                <w:w w:val="102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bCs/>
                <w:w w:val="102"/>
                <w:sz w:val="20"/>
                <w:szCs w:val="20"/>
              </w:rPr>
              <w:t>tuntutan</w:t>
            </w:r>
            <w:proofErr w:type="spellEnd"/>
            <w:r w:rsidRPr="00725058">
              <w:rPr>
                <w:rFonts w:ascii="Candara" w:hAnsi="Candara"/>
                <w:bCs/>
                <w:w w:val="102"/>
                <w:sz w:val="20"/>
                <w:szCs w:val="20"/>
              </w:rPr>
              <w:t xml:space="preserve"> professional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802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Capaian</w:t>
            </w:r>
            <w:proofErr w:type="spellEnd"/>
            <w:r w:rsidR="004641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Mata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Kuliah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(CP-MK)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M1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A3DA9" w:rsidRDefault="004641DA" w:rsidP="003A3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60741">
              <w:rPr>
                <w:rFonts w:eastAsia="Times New Roman" w:cs="Calibri"/>
                <w:color w:val="000000"/>
              </w:rPr>
              <w:t>1</w:t>
            </w:r>
            <w:r w:rsidR="003A3DA9">
              <w:rPr>
                <w:rFonts w:eastAsia="Times New Roman" w:cs="Calibri"/>
                <w:color w:val="000000"/>
              </w:rPr>
              <w:t xml:space="preserve">.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Mampu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berpikir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obyektif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kritis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 w:rsidR="003A3DA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3A3DA9">
              <w:rPr>
                <w:rFonts w:ascii="Times New Roman" w:hAnsi="Times New Roman" w:cs="Times New Roman"/>
                <w:color w:val="000000"/>
              </w:rPr>
              <w:t>sistematik</w:t>
            </w:r>
            <w:proofErr w:type="spellEnd"/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left w:val="thinThickSmall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M2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3A3DA9" w:rsidRDefault="003A3DA9" w:rsidP="003A3DA9">
            <w:pPr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pemahaman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konsep-konsep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teoritis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ilmu-ilmu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ekonomi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akuntansi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A6840" w:rsidRPr="00EE2D7B" w:rsidTr="00B3754A">
        <w:trPr>
          <w:trHeight w:val="526"/>
          <w:jc w:val="center"/>
        </w:trPr>
        <w:tc>
          <w:tcPr>
            <w:tcW w:w="2203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6840" w:rsidRPr="00EE2D7B" w:rsidRDefault="002A6840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M3</w:t>
            </w:r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2A6840" w:rsidRPr="00EE2D7B" w:rsidRDefault="003A3DA9" w:rsidP="00464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mengenali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menganalisa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permasalahan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bisnis</w:t>
            </w:r>
            <w:proofErr w:type="spellEnd"/>
          </w:p>
        </w:tc>
      </w:tr>
      <w:tr w:rsidR="002A6840" w:rsidRPr="00EE2D7B" w:rsidTr="00874AC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Media </w:t>
            </w: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Pembelajaran</w:t>
            </w:r>
            <w:proofErr w:type="spellEnd"/>
          </w:p>
        </w:tc>
        <w:tc>
          <w:tcPr>
            <w:tcW w:w="6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Software </w:t>
            </w:r>
          </w:p>
        </w:tc>
        <w:tc>
          <w:tcPr>
            <w:tcW w:w="46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Hardware</w:t>
            </w:r>
          </w:p>
        </w:tc>
      </w:tr>
      <w:tr w:rsidR="002A6840" w:rsidRPr="00EE2D7B" w:rsidTr="00B3754A">
        <w:trPr>
          <w:trHeight w:val="3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MC. Office (Word, Excel &amp; Power Point)</w:t>
            </w:r>
          </w:p>
        </w:tc>
        <w:tc>
          <w:tcPr>
            <w:tcW w:w="466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Laptop/PC &amp; LCD Projector</w:t>
            </w:r>
          </w:p>
        </w:tc>
      </w:tr>
      <w:tr w:rsidR="002A6840" w:rsidRPr="00EE2D7B" w:rsidTr="004641DA">
        <w:trPr>
          <w:trHeight w:val="300"/>
          <w:jc w:val="center"/>
        </w:trPr>
        <w:tc>
          <w:tcPr>
            <w:tcW w:w="2203" w:type="dxa"/>
            <w:vMerge w:val="restart"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Referensi</w:t>
            </w:r>
            <w:proofErr w:type="spellEnd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:</w:t>
            </w:r>
          </w:p>
        </w:tc>
        <w:tc>
          <w:tcPr>
            <w:tcW w:w="16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Utama</w:t>
            </w:r>
            <w:proofErr w:type="spellEnd"/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620A7F" w:rsidRPr="00725058" w:rsidRDefault="003A3DA9" w:rsidP="00620A7F">
            <w:pPr>
              <w:spacing w:after="0"/>
              <w:ind w:left="337" w:hanging="360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20A7F" w:rsidRPr="00725058">
              <w:rPr>
                <w:rFonts w:ascii="Candara" w:hAnsi="Candara"/>
                <w:sz w:val="20"/>
                <w:szCs w:val="20"/>
              </w:rPr>
              <w:t xml:space="preserve">) </w:t>
            </w:r>
            <w:proofErr w:type="spellStart"/>
            <w:r w:rsidR="00620A7F" w:rsidRPr="00725058">
              <w:rPr>
                <w:rFonts w:ascii="Candara" w:hAnsi="Candara"/>
                <w:sz w:val="20"/>
                <w:szCs w:val="20"/>
              </w:rPr>
              <w:t>Hamdy</w:t>
            </w:r>
            <w:proofErr w:type="spellEnd"/>
            <w:r w:rsidR="00620A7F"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="00620A7F" w:rsidRPr="00725058">
              <w:rPr>
                <w:rFonts w:ascii="Candara" w:hAnsi="Candara"/>
                <w:sz w:val="20"/>
                <w:szCs w:val="20"/>
              </w:rPr>
              <w:t>Hady</w:t>
            </w:r>
            <w:proofErr w:type="spellEnd"/>
            <w:r w:rsidR="00620A7F" w:rsidRPr="00725058">
              <w:rPr>
                <w:rFonts w:ascii="Candara" w:hAnsi="Candara"/>
                <w:sz w:val="20"/>
                <w:szCs w:val="20"/>
              </w:rPr>
              <w:t xml:space="preserve">, </w:t>
            </w:r>
            <w:proofErr w:type="spellStart"/>
            <w:r w:rsidR="00620A7F" w:rsidRPr="00725058">
              <w:rPr>
                <w:rFonts w:ascii="Candara" w:hAnsi="Candara"/>
                <w:sz w:val="20"/>
                <w:szCs w:val="20"/>
              </w:rPr>
              <w:t>Manajemen</w:t>
            </w:r>
            <w:proofErr w:type="spellEnd"/>
            <w:r w:rsidR="00620A7F"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="00620A7F" w:rsidRPr="00725058">
              <w:rPr>
                <w:rFonts w:ascii="Candara" w:hAnsi="Candara"/>
                <w:sz w:val="20"/>
                <w:szCs w:val="20"/>
              </w:rPr>
              <w:t>Keuangan</w:t>
            </w:r>
            <w:proofErr w:type="spellEnd"/>
            <w:r w:rsidR="00620A7F"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="00620A7F" w:rsidRPr="00725058">
              <w:rPr>
                <w:rFonts w:ascii="Candara" w:hAnsi="Candara"/>
                <w:sz w:val="20"/>
                <w:szCs w:val="20"/>
              </w:rPr>
              <w:t>Internasional</w:t>
            </w:r>
            <w:proofErr w:type="spellEnd"/>
            <w:r w:rsidR="00620A7F" w:rsidRPr="00725058">
              <w:rPr>
                <w:rFonts w:ascii="Candara" w:hAnsi="Candara"/>
                <w:sz w:val="20"/>
                <w:szCs w:val="20"/>
              </w:rPr>
              <w:t xml:space="preserve">, </w:t>
            </w:r>
            <w:proofErr w:type="spellStart"/>
            <w:r w:rsidR="00620A7F" w:rsidRPr="00725058">
              <w:rPr>
                <w:rFonts w:ascii="Candara" w:hAnsi="Candara"/>
                <w:sz w:val="20"/>
                <w:szCs w:val="20"/>
              </w:rPr>
              <w:t>Mitra</w:t>
            </w:r>
            <w:proofErr w:type="spellEnd"/>
            <w:r w:rsidR="00620A7F"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="00620A7F" w:rsidRPr="00725058">
              <w:rPr>
                <w:rFonts w:ascii="Candara" w:hAnsi="Candara"/>
                <w:sz w:val="20"/>
                <w:szCs w:val="20"/>
              </w:rPr>
              <w:t>Wacana</w:t>
            </w:r>
            <w:proofErr w:type="spellEnd"/>
            <w:r w:rsidR="00620A7F" w:rsidRPr="00725058">
              <w:rPr>
                <w:rFonts w:ascii="Candara" w:hAnsi="Candara"/>
                <w:sz w:val="20"/>
                <w:szCs w:val="20"/>
              </w:rPr>
              <w:t xml:space="preserve"> Media, 2012</w:t>
            </w:r>
          </w:p>
          <w:p w:rsidR="00EE2D7B" w:rsidRPr="00620A7F" w:rsidRDefault="00620A7F" w:rsidP="00620A7F">
            <w:pPr>
              <w:spacing w:after="0"/>
              <w:ind w:left="337" w:hanging="360"/>
              <w:jc w:val="both"/>
              <w:rPr>
                <w:rFonts w:ascii="Candara" w:hAnsi="Candara"/>
                <w:sz w:val="20"/>
                <w:szCs w:val="20"/>
              </w:rPr>
            </w:pPr>
            <w:r w:rsidRPr="00725058">
              <w:rPr>
                <w:rFonts w:ascii="Candara" w:hAnsi="Candara"/>
                <w:sz w:val="20"/>
                <w:szCs w:val="20"/>
              </w:rPr>
              <w:t xml:space="preserve">(2)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Agus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Sartono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,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Manajemen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Keuangan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International, BPFE Yogyakarta, 2001</w:t>
            </w:r>
          </w:p>
        </w:tc>
      </w:tr>
      <w:tr w:rsidR="002A6840" w:rsidRPr="00EE2D7B" w:rsidTr="004641DA">
        <w:trPr>
          <w:trHeight w:val="6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67" w:type="dxa"/>
            <w:gridSpan w:val="5"/>
            <w:tcBorders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620A7F" w:rsidRPr="00725058" w:rsidRDefault="00620A7F" w:rsidP="00620A7F">
            <w:pPr>
              <w:spacing w:after="0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(</w:t>
            </w:r>
            <w:r w:rsidRPr="00725058">
              <w:rPr>
                <w:rFonts w:ascii="Candara" w:hAnsi="Candara"/>
                <w:sz w:val="20"/>
                <w:szCs w:val="20"/>
              </w:rPr>
              <w:t xml:space="preserve">3) 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Hamdy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Hady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,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Valas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Untuk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Manajer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,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Ghalia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Indonesia Jakarta,1999</w:t>
            </w:r>
          </w:p>
          <w:p w:rsidR="00EE2D7B" w:rsidRPr="003A3DA9" w:rsidRDefault="00620A7F" w:rsidP="00620A7F">
            <w:pPr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 w:cs="Times New Roman"/>
                <w:color w:val="000000"/>
              </w:rPr>
            </w:pPr>
            <w:r w:rsidRPr="00725058">
              <w:rPr>
                <w:rFonts w:ascii="Candara" w:hAnsi="Candara"/>
                <w:sz w:val="20"/>
                <w:szCs w:val="20"/>
              </w:rPr>
              <w:t xml:space="preserve">(4) M. Faisal,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Manajemen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Keuangan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Internasional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,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Salemba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Empat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>, 2001</w:t>
            </w:r>
          </w:p>
        </w:tc>
      </w:tr>
      <w:tr w:rsidR="002A6840" w:rsidRPr="00EE2D7B" w:rsidTr="00A82F87">
        <w:trPr>
          <w:trHeight w:val="394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67" w:type="dxa"/>
            <w:gridSpan w:val="5"/>
            <w:tcBorders>
              <w:left w:val="nil"/>
              <w:bottom w:val="single" w:sz="8" w:space="0" w:color="000000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620A7F" w:rsidRPr="00725058" w:rsidRDefault="00620A7F" w:rsidP="00620A7F">
            <w:pPr>
              <w:spacing w:after="0"/>
              <w:ind w:left="337" w:hanging="360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(5) </w:t>
            </w:r>
            <w:r w:rsidRPr="00725058">
              <w:rPr>
                <w:rFonts w:ascii="Candara" w:hAnsi="Candara"/>
                <w:sz w:val="20"/>
                <w:szCs w:val="20"/>
              </w:rPr>
              <w:t xml:space="preserve">Levi D. Maurice. </w:t>
            </w:r>
            <w:r w:rsidRPr="00725058">
              <w:rPr>
                <w:rFonts w:ascii="Candara" w:hAnsi="Candara" w:cs="AdvP43ECB6"/>
                <w:sz w:val="20"/>
                <w:szCs w:val="20"/>
              </w:rPr>
              <w:t>International Finance</w:t>
            </w:r>
            <w:r w:rsidRPr="00725058">
              <w:rPr>
                <w:rFonts w:ascii="Candara" w:hAnsi="Candara"/>
                <w:sz w:val="20"/>
                <w:szCs w:val="20"/>
              </w:rPr>
              <w:t xml:space="preserve">. Fourth edition. London and New York: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Routledge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the Taylor &amp; Francis Group. 2005.</w:t>
            </w:r>
          </w:p>
          <w:p w:rsidR="00EE2D7B" w:rsidRPr="003A3DA9" w:rsidRDefault="00620A7F" w:rsidP="00620A7F">
            <w:pPr>
              <w:autoSpaceDE w:val="0"/>
              <w:autoSpaceDN w:val="0"/>
              <w:adjustRightInd w:val="0"/>
              <w:spacing w:after="0" w:line="240" w:lineRule="auto"/>
              <w:ind w:left="216" w:hanging="216"/>
              <w:rPr>
                <w:rFonts w:ascii="Times New Roman" w:hAnsi="Times New Roman" w:cs="Times New Roman"/>
                <w:color w:val="000000"/>
              </w:rPr>
            </w:pPr>
            <w:r w:rsidRPr="00725058">
              <w:rPr>
                <w:rFonts w:ascii="Candara" w:hAnsi="Candara"/>
                <w:sz w:val="20"/>
                <w:szCs w:val="20"/>
              </w:rPr>
              <w:t xml:space="preserve">(6) </w:t>
            </w:r>
            <w:r w:rsidRPr="00725058">
              <w:rPr>
                <w:rFonts w:ascii="Candara" w:hAnsi="Candara" w:cs="AkzidenzGroteskBE-Regular"/>
                <w:sz w:val="20"/>
                <w:szCs w:val="20"/>
              </w:rPr>
              <w:t>Buckley Adrian. Multinational Finance. Harlow: Prentice Hall. 2004</w:t>
            </w:r>
            <w:r w:rsidR="003A3DA9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A6840" w:rsidRPr="00EE2D7B" w:rsidTr="00874ACA">
        <w:trPr>
          <w:trHeight w:val="600"/>
          <w:jc w:val="center"/>
        </w:trPr>
        <w:tc>
          <w:tcPr>
            <w:tcW w:w="2203" w:type="dxa"/>
            <w:vMerge/>
            <w:tcBorders>
              <w:top w:val="single" w:sz="8" w:space="0" w:color="000000"/>
              <w:left w:val="thinThickSmallGap" w:sz="24" w:space="0" w:color="auto"/>
              <w:bottom w:val="thinThickSmallGap" w:sz="24" w:space="0" w:color="auto"/>
              <w:right w:val="single" w:sz="8" w:space="0" w:color="000000"/>
            </w:tcBorders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thinThickSmallGap" w:sz="2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E2D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Tambahan</w:t>
            </w:r>
            <w:proofErr w:type="spellEnd"/>
          </w:p>
        </w:tc>
        <w:tc>
          <w:tcPr>
            <w:tcW w:w="9167" w:type="dxa"/>
            <w:gridSpan w:val="5"/>
            <w:tcBorders>
              <w:top w:val="single" w:sz="8" w:space="0" w:color="000000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EE2D7B" w:rsidRPr="00EE2D7B" w:rsidRDefault="00EE2D7B" w:rsidP="00EE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E2D7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1"/>
        <w:tblW w:w="13008" w:type="dxa"/>
        <w:tblLayout w:type="fixed"/>
        <w:tblLook w:val="04A0"/>
      </w:tblPr>
      <w:tblGrid>
        <w:gridCol w:w="743"/>
        <w:gridCol w:w="2695"/>
        <w:gridCol w:w="1800"/>
        <w:gridCol w:w="1175"/>
        <w:gridCol w:w="992"/>
        <w:gridCol w:w="1701"/>
        <w:gridCol w:w="1074"/>
        <w:gridCol w:w="1843"/>
        <w:gridCol w:w="985"/>
      </w:tblGrid>
      <w:tr w:rsidR="00B3754A" w:rsidRPr="00BD0C44" w:rsidTr="00620A7F">
        <w:tc>
          <w:tcPr>
            <w:tcW w:w="74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1</w:t>
            </w:r>
          </w:p>
        </w:tc>
        <w:tc>
          <w:tcPr>
            <w:tcW w:w="2695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2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3</w:t>
            </w:r>
          </w:p>
        </w:tc>
        <w:tc>
          <w:tcPr>
            <w:tcW w:w="1175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4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5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6</w:t>
            </w:r>
          </w:p>
        </w:tc>
        <w:tc>
          <w:tcPr>
            <w:tcW w:w="3902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BD0C44">
              <w:rPr>
                <w:rFonts w:asciiTheme="majorBidi" w:hAnsiTheme="majorBidi" w:cstheme="majorBidi"/>
                <w:b/>
              </w:rPr>
              <w:t>7</w:t>
            </w:r>
          </w:p>
        </w:tc>
      </w:tr>
      <w:tr w:rsidR="00B3754A" w:rsidRPr="00BD0C44" w:rsidTr="00620A7F">
        <w:tc>
          <w:tcPr>
            <w:tcW w:w="743" w:type="dxa"/>
            <w:vMerge w:val="restart"/>
            <w:tcBorders>
              <w:lef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Minggu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ke</w:t>
            </w:r>
            <w:proofErr w:type="spellEnd"/>
          </w:p>
        </w:tc>
        <w:tc>
          <w:tcPr>
            <w:tcW w:w="2695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KemampuanAkhir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tiap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tahapan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pembelajaran</w:t>
            </w:r>
            <w:proofErr w:type="spellEnd"/>
          </w:p>
        </w:tc>
        <w:tc>
          <w:tcPr>
            <w:tcW w:w="1800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Bahan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Kajian</w:t>
            </w:r>
            <w:proofErr w:type="spellEnd"/>
            <w:r w:rsidRPr="00BD0C44">
              <w:rPr>
                <w:rFonts w:asciiTheme="majorBidi" w:hAnsiTheme="majorBidi" w:cstheme="majorBidi"/>
                <w:b/>
              </w:rPr>
              <w:t xml:space="preserve">/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Pokok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Bahasan</w:t>
            </w:r>
            <w:proofErr w:type="spellEnd"/>
          </w:p>
        </w:tc>
        <w:tc>
          <w:tcPr>
            <w:tcW w:w="1175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Metode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Pembelajaran</w:t>
            </w:r>
            <w:proofErr w:type="spellEnd"/>
          </w:p>
        </w:tc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Waktu</w:t>
            </w:r>
            <w:proofErr w:type="spellEnd"/>
          </w:p>
        </w:tc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Pengalaman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Belajar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Mahasiswa</w:t>
            </w:r>
            <w:proofErr w:type="spellEnd"/>
          </w:p>
        </w:tc>
        <w:tc>
          <w:tcPr>
            <w:tcW w:w="3902" w:type="dxa"/>
            <w:gridSpan w:val="3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Penilaian</w:t>
            </w:r>
            <w:proofErr w:type="spellEnd"/>
          </w:p>
        </w:tc>
      </w:tr>
      <w:tr w:rsidR="00042C78" w:rsidRPr="00BD0C44" w:rsidTr="00620A7F">
        <w:trPr>
          <w:trHeight w:val="65"/>
        </w:trPr>
        <w:tc>
          <w:tcPr>
            <w:tcW w:w="743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95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5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74" w:type="dxa"/>
            <w:tcBorders>
              <w:bottom w:val="thickThinSmallGap" w:sz="24" w:space="0" w:color="auto"/>
            </w:tcBorders>
            <w:shd w:val="clear" w:color="auto" w:fill="DAEEF3" w:themeFill="accent5" w:themeFillTint="33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>
              <w:rPr>
                <w:rFonts w:asciiTheme="majorBidi" w:hAnsiTheme="majorBidi" w:cstheme="majorBidi"/>
                <w:b/>
              </w:rPr>
              <w:t>Teknik</w:t>
            </w:r>
            <w:proofErr w:type="spellEnd"/>
          </w:p>
        </w:tc>
        <w:tc>
          <w:tcPr>
            <w:tcW w:w="1843" w:type="dxa"/>
            <w:tcBorders>
              <w:bottom w:val="thickThin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Kriteria</w:t>
            </w:r>
            <w:proofErr w:type="spellEnd"/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r w:rsidRPr="00BD0C44">
              <w:rPr>
                <w:rFonts w:asciiTheme="majorBidi" w:hAnsiTheme="majorBidi" w:cstheme="majorBidi"/>
                <w:b/>
              </w:rPr>
              <w:t>&amp;</w:t>
            </w:r>
            <w:r w:rsidR="00F9751C">
              <w:rPr>
                <w:rFonts w:asciiTheme="majorBidi" w:hAnsiTheme="majorBidi" w:cstheme="majorBidi"/>
                <w:b/>
              </w:rPr>
              <w:t xml:space="preserve"> </w:t>
            </w:r>
            <w:proofErr w:type="spellStart"/>
            <w:r w:rsidRPr="00BD0C44">
              <w:rPr>
                <w:rFonts w:asciiTheme="majorBidi" w:hAnsiTheme="majorBidi" w:cstheme="majorBidi"/>
                <w:b/>
              </w:rPr>
              <w:t>Indikator</w:t>
            </w:r>
            <w:proofErr w:type="spellEnd"/>
          </w:p>
        </w:tc>
        <w:tc>
          <w:tcPr>
            <w:tcW w:w="985" w:type="dxa"/>
            <w:tcBorders>
              <w:bottom w:val="thickThin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  <w:vAlign w:val="center"/>
          </w:tcPr>
          <w:p w:rsidR="00B3754A" w:rsidRPr="00BD0C44" w:rsidRDefault="00B3754A" w:rsidP="00B3754A">
            <w:pPr>
              <w:jc w:val="center"/>
              <w:rPr>
                <w:rFonts w:asciiTheme="majorBidi" w:hAnsiTheme="majorBidi" w:cstheme="majorBidi"/>
                <w:b/>
              </w:rPr>
            </w:pPr>
            <w:proofErr w:type="spellStart"/>
            <w:r w:rsidRPr="00BD0C44">
              <w:rPr>
                <w:rFonts w:asciiTheme="majorBidi" w:hAnsiTheme="majorBidi" w:cstheme="majorBidi"/>
                <w:b/>
              </w:rPr>
              <w:t>Bobot</w:t>
            </w:r>
            <w:proofErr w:type="spellEnd"/>
            <w:r w:rsidRPr="00BD0C44">
              <w:rPr>
                <w:rFonts w:asciiTheme="majorBidi" w:hAnsiTheme="majorBidi" w:cstheme="majorBidi"/>
                <w:b/>
              </w:rPr>
              <w:t xml:space="preserve"> (%)</w:t>
            </w:r>
          </w:p>
        </w:tc>
      </w:tr>
      <w:tr w:rsidR="00042C78" w:rsidRPr="00C83102" w:rsidTr="00620A7F">
        <w:trPr>
          <w:trHeight w:val="738"/>
        </w:trPr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1.</w:t>
            </w:r>
          </w:p>
        </w:tc>
        <w:tc>
          <w:tcPr>
            <w:tcW w:w="2695" w:type="dxa"/>
          </w:tcPr>
          <w:p w:rsidR="00620A7F" w:rsidRPr="00725058" w:rsidRDefault="00620A7F" w:rsidP="00620A7F">
            <w:pPr>
              <w:pStyle w:val="BodyTextIndent"/>
              <w:ind w:left="0"/>
              <w:rPr>
                <w:rFonts w:ascii="Candara" w:hAnsi="Candara" w:cs="Calibri"/>
                <w:sz w:val="20"/>
              </w:rPr>
            </w:pPr>
            <w:proofErr w:type="spellStart"/>
            <w:r w:rsidRPr="00725058">
              <w:rPr>
                <w:rFonts w:ascii="Candara" w:hAnsi="Candara" w:cs="Calibri"/>
                <w:sz w:val="20"/>
              </w:rPr>
              <w:t>mahasiswa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menguasai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berbagai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aspek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yang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berkaitan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dengan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perusahaan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multinasional</w:t>
            </w:r>
            <w:proofErr w:type="spellEnd"/>
          </w:p>
          <w:p w:rsidR="00B3754A" w:rsidRPr="00C83102" w:rsidRDefault="00B3754A" w:rsidP="00B3754A">
            <w:pPr>
              <w:pStyle w:val="BodyText"/>
              <w:jc w:val="left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0A7F" w:rsidRPr="00725058" w:rsidRDefault="00620A7F" w:rsidP="00620A7F">
            <w:pPr>
              <w:numPr>
                <w:ilvl w:val="0"/>
                <w:numId w:val="16"/>
              </w:numPr>
              <w:ind w:left="432"/>
              <w:rPr>
                <w:rFonts w:ascii="Candara" w:hAnsi="Candara"/>
                <w:sz w:val="20"/>
                <w:szCs w:val="20"/>
              </w:rPr>
            </w:pPr>
            <w:r w:rsidRPr="00725058">
              <w:rPr>
                <w:rFonts w:ascii="Candara" w:hAnsi="Candara"/>
                <w:sz w:val="20"/>
                <w:szCs w:val="20"/>
              </w:rPr>
              <w:t>Perusahaan Multinational</w:t>
            </w:r>
          </w:p>
          <w:p w:rsidR="00620A7F" w:rsidRPr="00725058" w:rsidRDefault="00620A7F" w:rsidP="00620A7F">
            <w:pPr>
              <w:numPr>
                <w:ilvl w:val="0"/>
                <w:numId w:val="16"/>
              </w:numPr>
              <w:ind w:left="432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Perkembangan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dan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Evolusi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Perusahaan Multinational (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Proses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internasionalisasi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>)</w:t>
            </w:r>
          </w:p>
          <w:p w:rsidR="00620A7F" w:rsidRDefault="00620A7F" w:rsidP="00620A7F">
            <w:pPr>
              <w:numPr>
                <w:ilvl w:val="0"/>
                <w:numId w:val="16"/>
              </w:numPr>
              <w:ind w:left="432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Perbedaan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Manajemen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Keuangan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dan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Manajemen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Keuangan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International</w:t>
            </w:r>
          </w:p>
          <w:p w:rsidR="00B3754A" w:rsidRPr="00620A7F" w:rsidRDefault="00620A7F" w:rsidP="00620A7F">
            <w:pPr>
              <w:numPr>
                <w:ilvl w:val="0"/>
                <w:numId w:val="16"/>
              </w:numPr>
              <w:ind w:left="432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620A7F">
              <w:rPr>
                <w:rFonts w:ascii="Candara" w:hAnsi="Candara"/>
                <w:sz w:val="20"/>
                <w:szCs w:val="20"/>
              </w:rPr>
              <w:t>Tujuan</w:t>
            </w:r>
            <w:proofErr w:type="spellEnd"/>
            <w:r w:rsidRPr="00620A7F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620A7F">
              <w:rPr>
                <w:rFonts w:ascii="Candara" w:hAnsi="Candara"/>
                <w:sz w:val="20"/>
                <w:szCs w:val="20"/>
              </w:rPr>
              <w:t>Manajemen</w:t>
            </w:r>
            <w:proofErr w:type="spellEnd"/>
            <w:r w:rsidRPr="00620A7F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620A7F">
              <w:rPr>
                <w:rFonts w:ascii="Candara" w:hAnsi="Candara"/>
                <w:sz w:val="20"/>
                <w:szCs w:val="20"/>
              </w:rPr>
              <w:t>Keuangan</w:t>
            </w:r>
            <w:proofErr w:type="spellEnd"/>
            <w:r w:rsidRPr="00620A7F">
              <w:rPr>
                <w:rFonts w:ascii="Candara" w:hAnsi="Candara"/>
                <w:sz w:val="20"/>
                <w:szCs w:val="20"/>
              </w:rPr>
              <w:t xml:space="preserve"> International</w:t>
            </w:r>
          </w:p>
        </w:tc>
        <w:tc>
          <w:tcPr>
            <w:tcW w:w="1175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3754A" w:rsidRPr="00C83102" w:rsidRDefault="00B3754A" w:rsidP="00B3754A">
            <w:pPr>
              <w:pStyle w:val="ListParagraph"/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="00F9751C"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B3754A" w:rsidRPr="00C83102" w:rsidRDefault="00B3754A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3754A" w:rsidRPr="00C83102" w:rsidRDefault="00B3754A" w:rsidP="00B3754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="009E5C01"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="009E5C01"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="00F9751C"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B3754A" w:rsidP="00B3754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="00F9751C"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="00F9751C"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="00F9751C"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rPr>
                <w:rFonts w:cstheme="majorBidi"/>
              </w:rPr>
            </w:pPr>
            <w:bookmarkStart w:id="0" w:name="_GoBack"/>
            <w:bookmarkEnd w:id="0"/>
          </w:p>
        </w:tc>
      </w:tr>
      <w:tr w:rsidR="00042C78" w:rsidRPr="00C83102" w:rsidTr="00620A7F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2.</w:t>
            </w:r>
          </w:p>
        </w:tc>
        <w:tc>
          <w:tcPr>
            <w:tcW w:w="2695" w:type="dxa"/>
          </w:tcPr>
          <w:p w:rsidR="00620A7F" w:rsidRPr="00725058" w:rsidRDefault="00620A7F" w:rsidP="00620A7F">
            <w:pPr>
              <w:pStyle w:val="BodyTextIndent"/>
              <w:ind w:left="0"/>
              <w:rPr>
                <w:rFonts w:ascii="Candara" w:hAnsi="Candara" w:cs="Calibri"/>
                <w:sz w:val="20"/>
              </w:rPr>
            </w:pPr>
            <w:proofErr w:type="spellStart"/>
            <w:r w:rsidRPr="00725058">
              <w:rPr>
                <w:rFonts w:ascii="Candara" w:hAnsi="Candara" w:cs="Calibri"/>
                <w:sz w:val="20"/>
              </w:rPr>
              <w:t>mahasiswa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menguasai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jenis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jenis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penentuan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kurs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valas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dan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faktor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faktor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yang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lastRenderedPageBreak/>
              <w:t>mempe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ngaruhi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kurs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vauta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asing</w:t>
            </w:r>
            <w:proofErr w:type="spellEnd"/>
          </w:p>
          <w:p w:rsidR="00B3754A" w:rsidRPr="00C83102" w:rsidRDefault="00B3754A" w:rsidP="00B3754A">
            <w:pPr>
              <w:ind w:left="13"/>
              <w:rPr>
                <w:rFonts w:cstheme="majorBidi"/>
              </w:rPr>
            </w:pPr>
          </w:p>
        </w:tc>
        <w:tc>
          <w:tcPr>
            <w:tcW w:w="1800" w:type="dxa"/>
          </w:tcPr>
          <w:p w:rsidR="00620A7F" w:rsidRPr="00725058" w:rsidRDefault="00620A7F" w:rsidP="00620A7F">
            <w:pPr>
              <w:numPr>
                <w:ilvl w:val="0"/>
                <w:numId w:val="17"/>
              </w:numPr>
              <w:ind w:left="432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lastRenderedPageBreak/>
              <w:t>Sejarah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system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Moneter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725058">
              <w:rPr>
                <w:rFonts w:ascii="Candara" w:hAnsi="Candara"/>
                <w:sz w:val="20"/>
                <w:szCs w:val="20"/>
              </w:rPr>
              <w:lastRenderedPageBreak/>
              <w:t>International</w:t>
            </w:r>
          </w:p>
          <w:p w:rsidR="00620A7F" w:rsidRPr="00725058" w:rsidRDefault="00620A7F" w:rsidP="00620A7F">
            <w:pPr>
              <w:numPr>
                <w:ilvl w:val="0"/>
                <w:numId w:val="17"/>
              </w:numPr>
              <w:ind w:left="432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Macam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Macam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Sistem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penetapan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Kurs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Valas</w:t>
            </w:r>
            <w:proofErr w:type="spellEnd"/>
          </w:p>
          <w:p w:rsidR="00620A7F" w:rsidRPr="00725058" w:rsidRDefault="00620A7F" w:rsidP="00620A7F">
            <w:pPr>
              <w:numPr>
                <w:ilvl w:val="0"/>
                <w:numId w:val="17"/>
              </w:numPr>
              <w:ind w:left="432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Faktor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yang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mempengaruhi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Kurs</w:t>
            </w:r>
            <w:proofErr w:type="spellEnd"/>
            <w:r w:rsidRPr="00725058">
              <w:rPr>
                <w:rFonts w:ascii="Candara" w:hAnsi="Candara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/>
                <w:sz w:val="20"/>
                <w:szCs w:val="20"/>
              </w:rPr>
              <w:t>Valas</w:t>
            </w:r>
            <w:proofErr w:type="spellEnd"/>
          </w:p>
          <w:p w:rsidR="00620A7F" w:rsidRDefault="00620A7F" w:rsidP="00620A7F">
            <w:pPr>
              <w:numPr>
                <w:ilvl w:val="0"/>
                <w:numId w:val="17"/>
              </w:numPr>
              <w:ind w:left="432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Keuangan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perusahaan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diseluruh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dunia</w:t>
            </w:r>
            <w:proofErr w:type="spellEnd"/>
          </w:p>
          <w:p w:rsidR="00B3754A" w:rsidRPr="00620A7F" w:rsidRDefault="00620A7F" w:rsidP="00620A7F">
            <w:pPr>
              <w:numPr>
                <w:ilvl w:val="0"/>
                <w:numId w:val="17"/>
              </w:numPr>
              <w:ind w:left="432"/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620A7F">
              <w:rPr>
                <w:rFonts w:ascii="Candara" w:hAnsi="Candara" w:cs="Calibri"/>
                <w:sz w:val="20"/>
                <w:szCs w:val="20"/>
              </w:rPr>
              <w:t>Neraca</w:t>
            </w:r>
            <w:proofErr w:type="spellEnd"/>
            <w:r w:rsidRPr="00620A7F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620A7F">
              <w:rPr>
                <w:rFonts w:ascii="Candara" w:hAnsi="Candara" w:cs="Calibri"/>
                <w:sz w:val="20"/>
                <w:szCs w:val="20"/>
              </w:rPr>
              <w:t>pembayaran</w:t>
            </w:r>
            <w:proofErr w:type="spellEnd"/>
            <w:r w:rsidRPr="00620A7F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620A7F">
              <w:rPr>
                <w:rFonts w:ascii="Candara" w:hAnsi="Candara" w:cs="Calibri"/>
                <w:sz w:val="20"/>
                <w:szCs w:val="20"/>
              </w:rPr>
              <w:t>internasional</w:t>
            </w:r>
            <w:proofErr w:type="spellEnd"/>
          </w:p>
        </w:tc>
        <w:tc>
          <w:tcPr>
            <w:tcW w:w="1175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lastRenderedPageBreak/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lastRenderedPageBreak/>
              <w:t>Jawab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lastRenderedPageBreak/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2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="00F9751C"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2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lastRenderedPageBreak/>
              <w:t>Penyelesaiankasus</w:t>
            </w:r>
            <w:proofErr w:type="spellEnd"/>
          </w:p>
        </w:tc>
        <w:tc>
          <w:tcPr>
            <w:tcW w:w="1074" w:type="dxa"/>
          </w:tcPr>
          <w:p w:rsidR="00B3754A" w:rsidRPr="00C83102" w:rsidRDefault="00B3754A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lastRenderedPageBreak/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lastRenderedPageBreak/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rPr>
                <w:rFonts w:cstheme="majorBidi"/>
              </w:rPr>
            </w:pPr>
          </w:p>
        </w:tc>
      </w:tr>
      <w:tr w:rsidR="00042C78" w:rsidRPr="00C83102" w:rsidTr="00620A7F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695" w:type="dxa"/>
          </w:tcPr>
          <w:p w:rsidR="00620A7F" w:rsidRPr="00725058" w:rsidRDefault="00620A7F" w:rsidP="00620A7F">
            <w:pPr>
              <w:pStyle w:val="BodyTextIndent"/>
              <w:ind w:left="0"/>
              <w:rPr>
                <w:rFonts w:ascii="Candara" w:hAnsi="Candara" w:cs="Calibri"/>
                <w:sz w:val="20"/>
              </w:rPr>
            </w:pPr>
            <w:proofErr w:type="spellStart"/>
            <w:r w:rsidRPr="00725058">
              <w:rPr>
                <w:rFonts w:ascii="Candara" w:hAnsi="Candara" w:cs="Calibri"/>
                <w:sz w:val="20"/>
              </w:rPr>
              <w:t>mahasiswa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menguasaiberbagai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jenis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kurs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dan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bursa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valuta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asing</w:t>
            </w:r>
            <w:proofErr w:type="spellEnd"/>
          </w:p>
          <w:p w:rsidR="00B3754A" w:rsidRPr="00C83102" w:rsidRDefault="00B3754A" w:rsidP="00B3754A">
            <w:pPr>
              <w:pStyle w:val="BodyText"/>
              <w:jc w:val="left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0A7F" w:rsidRPr="00725058" w:rsidRDefault="00620A7F" w:rsidP="00620A7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52" w:hanging="252"/>
              <w:rPr>
                <w:rFonts w:ascii="Candara" w:hAnsi="Candara" w:cs="Calibri"/>
                <w:sz w:val="20"/>
                <w:szCs w:val="20"/>
              </w:rPr>
            </w:pP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Pegertian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kurs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dan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kurs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silang</w:t>
            </w:r>
            <w:proofErr w:type="spellEnd"/>
          </w:p>
          <w:p w:rsidR="00620A7F" w:rsidRPr="00725058" w:rsidRDefault="00620A7F" w:rsidP="00620A7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52" w:hanging="252"/>
              <w:rPr>
                <w:rFonts w:ascii="Candara" w:hAnsi="Candara" w:cs="Calibri"/>
                <w:sz w:val="20"/>
                <w:szCs w:val="20"/>
              </w:rPr>
            </w:pP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Jenis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bursa </w:t>
            </w: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valutas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asing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>.</w:t>
            </w:r>
          </w:p>
          <w:p w:rsidR="00B3754A" w:rsidRPr="00C83102" w:rsidRDefault="00B3754A" w:rsidP="004A45F3">
            <w:pPr>
              <w:pStyle w:val="BodyText"/>
              <w:jc w:val="left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175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3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="004A45F3"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446070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rPr>
                <w:rFonts w:cstheme="majorBidi"/>
              </w:rPr>
            </w:pPr>
          </w:p>
        </w:tc>
      </w:tr>
      <w:tr w:rsidR="00042C78" w:rsidRPr="00C83102" w:rsidTr="00620A7F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4.</w:t>
            </w:r>
          </w:p>
        </w:tc>
        <w:tc>
          <w:tcPr>
            <w:tcW w:w="2695" w:type="dxa"/>
          </w:tcPr>
          <w:p w:rsidR="00620A7F" w:rsidRPr="00725058" w:rsidRDefault="00620A7F" w:rsidP="00620A7F">
            <w:pPr>
              <w:pStyle w:val="BodyTextIndent"/>
              <w:ind w:left="0"/>
              <w:rPr>
                <w:rFonts w:ascii="Candara" w:hAnsi="Candara" w:cs="Calibri"/>
                <w:sz w:val="20"/>
              </w:rPr>
            </w:pPr>
            <w:proofErr w:type="spellStart"/>
            <w:r w:rsidRPr="00725058">
              <w:rPr>
                <w:rFonts w:ascii="Candara" w:hAnsi="Candara" w:cs="Calibri"/>
                <w:sz w:val="20"/>
              </w:rPr>
              <w:t>mahasiswa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menguasaikurs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spot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dan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hedging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dengan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forward</w:t>
            </w:r>
          </w:p>
          <w:p w:rsidR="00B3754A" w:rsidRPr="00C83102" w:rsidRDefault="00B3754A" w:rsidP="00F730D2">
            <w:pPr>
              <w:ind w:left="13"/>
              <w:rPr>
                <w:rFonts w:cstheme="majorBidi"/>
                <w:lang w:val="id-ID"/>
              </w:rPr>
            </w:pPr>
          </w:p>
        </w:tc>
        <w:tc>
          <w:tcPr>
            <w:tcW w:w="1800" w:type="dxa"/>
          </w:tcPr>
          <w:p w:rsidR="00620A7F" w:rsidRPr="00725058" w:rsidRDefault="00620A7F" w:rsidP="00620A7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2" w:hanging="252"/>
              <w:rPr>
                <w:rFonts w:ascii="Candara" w:hAnsi="Candara" w:cs="Calibri"/>
                <w:sz w:val="20"/>
                <w:szCs w:val="20"/>
              </w:rPr>
            </w:pP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Tujuan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pasar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spot </w:t>
            </w: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dan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pasar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forward</w:t>
            </w:r>
          </w:p>
          <w:p w:rsidR="00620A7F" w:rsidRPr="00725058" w:rsidRDefault="00620A7F" w:rsidP="00620A7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2" w:hanging="252"/>
              <w:rPr>
                <w:rFonts w:ascii="Candara" w:hAnsi="Candara" w:cs="Calibri"/>
                <w:sz w:val="20"/>
                <w:szCs w:val="20"/>
              </w:rPr>
            </w:pP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Metode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pencatatan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kurs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(quotation methods)</w:t>
            </w:r>
          </w:p>
          <w:p w:rsidR="00620A7F" w:rsidRPr="00725058" w:rsidRDefault="00620A7F" w:rsidP="00620A7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2" w:hanging="252"/>
              <w:rPr>
                <w:rFonts w:ascii="Candara" w:hAnsi="Candara" w:cs="Calibri"/>
                <w:sz w:val="20"/>
                <w:szCs w:val="20"/>
              </w:rPr>
            </w:pP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Kurs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spot</w:t>
            </w:r>
          </w:p>
          <w:p w:rsidR="00620A7F" w:rsidRPr="00725058" w:rsidRDefault="00620A7F" w:rsidP="00620A7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2" w:hanging="252"/>
              <w:rPr>
                <w:rFonts w:ascii="Candara" w:hAnsi="Candara" w:cs="Calibri"/>
                <w:sz w:val="20"/>
                <w:szCs w:val="20"/>
              </w:rPr>
            </w:pP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Kurs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forward</w:t>
            </w:r>
          </w:p>
          <w:p w:rsidR="00620A7F" w:rsidRPr="00725058" w:rsidRDefault="00620A7F" w:rsidP="00620A7F">
            <w:pPr>
              <w:autoSpaceDE w:val="0"/>
              <w:autoSpaceDN w:val="0"/>
              <w:adjustRightInd w:val="0"/>
              <w:rPr>
                <w:rFonts w:ascii="Candara" w:hAnsi="Candara" w:cs="Calibri"/>
                <w:sz w:val="20"/>
                <w:szCs w:val="20"/>
              </w:rPr>
            </w:pPr>
          </w:p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175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="004A45F3"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4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446070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</w:p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b/>
                <w:sz w:val="22"/>
                <w:szCs w:val="22"/>
              </w:rPr>
            </w:pPr>
          </w:p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b/>
                <w:sz w:val="22"/>
                <w:szCs w:val="22"/>
              </w:rPr>
            </w:pPr>
          </w:p>
        </w:tc>
      </w:tr>
      <w:tr w:rsidR="00042C78" w:rsidRPr="00C83102" w:rsidTr="00620A7F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B3754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5.</w:t>
            </w:r>
          </w:p>
        </w:tc>
        <w:tc>
          <w:tcPr>
            <w:tcW w:w="2695" w:type="dxa"/>
            <w:tcBorders>
              <w:bottom w:val="single" w:sz="4" w:space="0" w:color="000000" w:themeColor="text1"/>
            </w:tcBorders>
          </w:tcPr>
          <w:p w:rsidR="00620A7F" w:rsidRPr="00725058" w:rsidRDefault="00620A7F" w:rsidP="00620A7F">
            <w:pPr>
              <w:pStyle w:val="BodyTextIndent"/>
              <w:ind w:left="0"/>
              <w:rPr>
                <w:rFonts w:ascii="Candara" w:hAnsi="Candara" w:cs="Calibri"/>
                <w:sz w:val="20"/>
              </w:rPr>
            </w:pPr>
            <w:proofErr w:type="spellStart"/>
            <w:r w:rsidRPr="00725058">
              <w:rPr>
                <w:rFonts w:ascii="Candara" w:hAnsi="Candara" w:cs="Calibri"/>
                <w:sz w:val="20"/>
              </w:rPr>
              <w:t>mahasiswa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menguasai</w:t>
            </w:r>
            <w:proofErr w:type="spellEnd"/>
            <w:r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kontrak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futures </w:t>
            </w:r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1800" w:type="dxa"/>
            <w:tcBorders>
              <w:bottom w:val="single" w:sz="4" w:space="0" w:color="000000" w:themeColor="text1"/>
            </w:tcBorders>
          </w:tcPr>
          <w:p w:rsidR="00620A7F" w:rsidRPr="00725058" w:rsidRDefault="00620A7F" w:rsidP="00620A7F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252" w:hanging="252"/>
              <w:rPr>
                <w:rFonts w:ascii="Candara" w:hAnsi="Candara" w:cs="Calibri"/>
                <w:sz w:val="20"/>
                <w:szCs w:val="20"/>
              </w:rPr>
            </w:pPr>
            <w:r w:rsidRPr="00725058">
              <w:rPr>
                <w:rFonts w:ascii="Candara" w:hAnsi="Candara" w:cs="Calibri"/>
                <w:sz w:val="20"/>
                <w:szCs w:val="20"/>
                <w:lang w:val="de-DE"/>
              </w:rPr>
              <w:t>Pengertian dan marking to market Currency furures</w:t>
            </w:r>
          </w:p>
          <w:p w:rsidR="00620A7F" w:rsidRPr="00620A7F" w:rsidRDefault="00620A7F" w:rsidP="00620A7F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252" w:hanging="252"/>
              <w:rPr>
                <w:rFonts w:ascii="Candara" w:hAnsi="Candara" w:cs="Calibri"/>
                <w:sz w:val="20"/>
                <w:szCs w:val="20"/>
              </w:rPr>
            </w:pPr>
            <w:r w:rsidRPr="00725058">
              <w:rPr>
                <w:rFonts w:ascii="Candara" w:hAnsi="Candara" w:cs="Calibri"/>
                <w:sz w:val="20"/>
                <w:szCs w:val="20"/>
                <w:lang w:val="de-DE"/>
              </w:rPr>
              <w:t xml:space="preserve">Perbedaan future contract </w:t>
            </w:r>
            <w:r w:rsidRPr="00725058">
              <w:rPr>
                <w:rFonts w:ascii="Candara" w:hAnsi="Candara" w:cs="Calibri"/>
                <w:sz w:val="20"/>
                <w:szCs w:val="20"/>
                <w:lang w:val="de-DE"/>
              </w:rPr>
              <w:lastRenderedPageBreak/>
              <w:t>dan forward contract</w:t>
            </w:r>
          </w:p>
          <w:p w:rsidR="00B3754A" w:rsidRPr="00620A7F" w:rsidRDefault="00620A7F" w:rsidP="00620A7F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252" w:hanging="252"/>
              <w:rPr>
                <w:rFonts w:ascii="Candara" w:hAnsi="Candara" w:cs="Calibri"/>
                <w:sz w:val="20"/>
                <w:szCs w:val="20"/>
              </w:rPr>
            </w:pPr>
            <w:proofErr w:type="spellStart"/>
            <w:r w:rsidRPr="00620A7F">
              <w:rPr>
                <w:rFonts w:ascii="Candara" w:hAnsi="Candara" w:cs="Calibri"/>
                <w:sz w:val="20"/>
                <w:szCs w:val="20"/>
              </w:rPr>
              <w:t>Profil</w:t>
            </w:r>
            <w:proofErr w:type="spellEnd"/>
            <w:r w:rsidRPr="00620A7F">
              <w:rPr>
                <w:rFonts w:ascii="Candara" w:hAnsi="Candara" w:cs="Calibri"/>
                <w:sz w:val="20"/>
                <w:szCs w:val="20"/>
              </w:rPr>
              <w:t xml:space="preserve"> Payoff </w:t>
            </w:r>
            <w:proofErr w:type="spellStart"/>
            <w:r w:rsidRPr="00620A7F">
              <w:rPr>
                <w:rFonts w:ascii="Candara" w:hAnsi="Candara" w:cs="Calibri"/>
                <w:sz w:val="20"/>
                <w:szCs w:val="20"/>
              </w:rPr>
              <w:t>pada</w:t>
            </w:r>
            <w:proofErr w:type="spellEnd"/>
            <w:r w:rsidRPr="00620A7F">
              <w:rPr>
                <w:rFonts w:ascii="Candara" w:hAnsi="Candara" w:cs="Calibri"/>
                <w:sz w:val="20"/>
                <w:szCs w:val="20"/>
              </w:rPr>
              <w:t xml:space="preserve">  currency futures</w:t>
            </w:r>
          </w:p>
        </w:tc>
        <w:tc>
          <w:tcPr>
            <w:tcW w:w="1175" w:type="dxa"/>
            <w:tcBorders>
              <w:bottom w:val="single" w:sz="4" w:space="0" w:color="000000" w:themeColor="text1"/>
            </w:tcBorders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lastRenderedPageBreak/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5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="004A45F3"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5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  <w:tcBorders>
              <w:bottom w:val="single" w:sz="4" w:space="0" w:color="000000" w:themeColor="text1"/>
            </w:tcBorders>
          </w:tcPr>
          <w:p w:rsidR="00446070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0" w:themeColor="text1"/>
              <w:right w:val="thinThickSmallGap" w:sz="24" w:space="0" w:color="auto"/>
            </w:tcBorders>
          </w:tcPr>
          <w:p w:rsidR="00B3754A" w:rsidRPr="00C83102" w:rsidRDefault="00B3754A" w:rsidP="00B3754A">
            <w:pPr>
              <w:jc w:val="both"/>
              <w:rPr>
                <w:rFonts w:cstheme="majorBidi"/>
                <w:lang w:val="sv-SE"/>
              </w:rPr>
            </w:pPr>
          </w:p>
        </w:tc>
      </w:tr>
      <w:tr w:rsidR="004A45F3" w:rsidRPr="00C83102" w:rsidTr="00620A7F">
        <w:tc>
          <w:tcPr>
            <w:tcW w:w="743" w:type="dxa"/>
            <w:tcBorders>
              <w:left w:val="thinThickSmallGap" w:sz="24" w:space="0" w:color="auto"/>
            </w:tcBorders>
          </w:tcPr>
          <w:p w:rsidR="004A45F3" w:rsidRPr="00C83102" w:rsidRDefault="004A45F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695" w:type="dxa"/>
            <w:tcBorders>
              <w:right w:val="nil"/>
            </w:tcBorders>
          </w:tcPr>
          <w:p w:rsidR="004A45F3" w:rsidRPr="00C83102" w:rsidRDefault="004A45F3" w:rsidP="00B3754A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</w:tcPr>
          <w:p w:rsidR="004A45F3" w:rsidRPr="00C83102" w:rsidRDefault="004A45F3" w:rsidP="00B3754A">
            <w:pPr>
              <w:pStyle w:val="BodyTex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nil"/>
              <w:right w:val="nil"/>
            </w:tcBorders>
          </w:tcPr>
          <w:p w:rsidR="004A45F3" w:rsidRPr="00C83102" w:rsidRDefault="004A45F3" w:rsidP="00B3754A">
            <w:pPr>
              <w:pStyle w:val="ListParagraph"/>
              <w:ind w:left="162"/>
              <w:rPr>
                <w:rFonts w:cstheme="majorBidi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4A45F3" w:rsidRPr="00C83102" w:rsidRDefault="004A45F3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>QUIZ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4A45F3" w:rsidRPr="00C83102" w:rsidRDefault="004A45F3" w:rsidP="004A45F3">
            <w:pPr>
              <w:rPr>
                <w:rFonts w:cstheme="majorBidi"/>
              </w:rPr>
            </w:pPr>
          </w:p>
        </w:tc>
        <w:tc>
          <w:tcPr>
            <w:tcW w:w="1074" w:type="dxa"/>
            <w:tcBorders>
              <w:left w:val="nil"/>
              <w:right w:val="nil"/>
            </w:tcBorders>
          </w:tcPr>
          <w:p w:rsidR="004A45F3" w:rsidRPr="00C83102" w:rsidRDefault="004A45F3" w:rsidP="00446070">
            <w:pPr>
              <w:rPr>
                <w:rFonts w:cstheme="majorBidi"/>
                <w:bCs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4A45F3" w:rsidRPr="00C83102" w:rsidRDefault="004A45F3" w:rsidP="00F9751C">
            <w:pPr>
              <w:rPr>
                <w:rFonts w:cstheme="majorBidi"/>
                <w:bCs/>
              </w:rPr>
            </w:pPr>
          </w:p>
        </w:tc>
        <w:tc>
          <w:tcPr>
            <w:tcW w:w="985" w:type="dxa"/>
            <w:tcBorders>
              <w:left w:val="nil"/>
              <w:right w:val="thinThickSmallGap" w:sz="24" w:space="0" w:color="auto"/>
            </w:tcBorders>
          </w:tcPr>
          <w:p w:rsidR="004A45F3" w:rsidRPr="00C83102" w:rsidRDefault="004A45F3" w:rsidP="00B3754A">
            <w:pPr>
              <w:jc w:val="both"/>
              <w:rPr>
                <w:rFonts w:cstheme="majorBidi"/>
                <w:lang w:val="sv-SE"/>
              </w:rPr>
            </w:pPr>
          </w:p>
        </w:tc>
      </w:tr>
      <w:tr w:rsidR="00042C78" w:rsidRPr="00C83102" w:rsidTr="00620A7F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4A45F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7</w:t>
            </w:r>
            <w:r w:rsidR="00B3754A"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</w:p>
        </w:tc>
        <w:tc>
          <w:tcPr>
            <w:tcW w:w="2695" w:type="dxa"/>
          </w:tcPr>
          <w:p w:rsidR="00620A7F" w:rsidRPr="00725058" w:rsidRDefault="00620A7F" w:rsidP="00620A7F">
            <w:pPr>
              <w:pStyle w:val="BodyTextIndent"/>
              <w:ind w:left="0"/>
              <w:rPr>
                <w:rFonts w:ascii="Candara" w:hAnsi="Candara" w:cs="Calibri"/>
                <w:sz w:val="20"/>
              </w:rPr>
            </w:pPr>
            <w:proofErr w:type="spellStart"/>
            <w:r w:rsidRPr="00725058">
              <w:rPr>
                <w:rFonts w:ascii="Candara" w:hAnsi="Candara" w:cs="Calibri"/>
                <w:sz w:val="20"/>
              </w:rPr>
              <w:t>mahasiswa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menguasai</w:t>
            </w:r>
            <w:proofErr w:type="spellEnd"/>
            <w:r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kontrak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option</w:t>
            </w:r>
          </w:p>
          <w:p w:rsidR="00B3754A" w:rsidRPr="00C83102" w:rsidRDefault="00B3754A" w:rsidP="00B3754A">
            <w:pPr>
              <w:ind w:firstLine="13"/>
              <w:rPr>
                <w:rFonts w:cstheme="majorBidi"/>
                <w:lang w:val="id-ID"/>
              </w:rPr>
            </w:pPr>
          </w:p>
        </w:tc>
        <w:tc>
          <w:tcPr>
            <w:tcW w:w="1800" w:type="dxa"/>
          </w:tcPr>
          <w:p w:rsidR="00620A7F" w:rsidRPr="00725058" w:rsidRDefault="00620A7F" w:rsidP="00620A7F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252" w:hanging="252"/>
              <w:rPr>
                <w:rFonts w:ascii="Candara" w:hAnsi="Candara" w:cs="Calibri"/>
                <w:sz w:val="20"/>
                <w:szCs w:val="20"/>
              </w:rPr>
            </w:pPr>
            <w:r w:rsidRPr="00725058">
              <w:rPr>
                <w:rFonts w:ascii="Candara" w:hAnsi="Candara" w:cs="Calibri"/>
                <w:sz w:val="20"/>
                <w:szCs w:val="20"/>
                <w:lang w:val="de-DE"/>
              </w:rPr>
              <w:t>Pengertian Currency options</w:t>
            </w:r>
          </w:p>
          <w:p w:rsidR="00620A7F" w:rsidRPr="00725058" w:rsidRDefault="00620A7F" w:rsidP="00620A7F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252" w:hanging="252"/>
              <w:rPr>
                <w:rFonts w:ascii="Candara" w:hAnsi="Candara" w:cs="Calibri"/>
                <w:sz w:val="20"/>
                <w:szCs w:val="20"/>
              </w:rPr>
            </w:pPr>
            <w:r w:rsidRPr="00725058">
              <w:rPr>
                <w:rFonts w:ascii="Candara" w:hAnsi="Candara" w:cs="Calibri"/>
                <w:sz w:val="20"/>
                <w:szCs w:val="20"/>
                <w:lang w:val="de-DE"/>
              </w:rPr>
              <w:t>Perdagangan dan karakteristik currency option</w:t>
            </w:r>
          </w:p>
          <w:p w:rsidR="00620A7F" w:rsidRDefault="00620A7F" w:rsidP="00620A7F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252" w:hanging="252"/>
              <w:rPr>
                <w:rFonts w:ascii="Candara" w:hAnsi="Candara" w:cs="Calibri"/>
                <w:sz w:val="20"/>
                <w:szCs w:val="20"/>
              </w:rPr>
            </w:pP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Konvensi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pencatatan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dan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organisasi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pasar</w:t>
            </w:r>
            <w:proofErr w:type="spellEnd"/>
          </w:p>
          <w:p w:rsidR="00B3754A" w:rsidRPr="00620A7F" w:rsidRDefault="00620A7F" w:rsidP="00620A7F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252" w:hanging="252"/>
              <w:rPr>
                <w:rFonts w:ascii="Candara" w:hAnsi="Candara" w:cs="Calibri"/>
                <w:sz w:val="20"/>
                <w:szCs w:val="20"/>
              </w:rPr>
            </w:pPr>
            <w:proofErr w:type="spellStart"/>
            <w:r w:rsidRPr="00620A7F">
              <w:rPr>
                <w:rFonts w:ascii="Candara" w:hAnsi="Candara" w:cs="Calibri"/>
                <w:sz w:val="20"/>
                <w:szCs w:val="20"/>
              </w:rPr>
              <w:t>Penentu</w:t>
            </w:r>
            <w:proofErr w:type="spellEnd"/>
            <w:r w:rsidRPr="00620A7F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620A7F">
              <w:rPr>
                <w:rFonts w:ascii="Candara" w:hAnsi="Candara" w:cs="Calibri"/>
                <w:sz w:val="20"/>
                <w:szCs w:val="20"/>
              </w:rPr>
              <w:t>nilai</w:t>
            </w:r>
            <w:proofErr w:type="spellEnd"/>
            <w:r w:rsidRPr="00620A7F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620A7F">
              <w:rPr>
                <w:rFonts w:ascii="Candara" w:hAnsi="Candara" w:cs="Calibri"/>
                <w:sz w:val="20"/>
                <w:szCs w:val="20"/>
              </w:rPr>
              <w:t>pasar</w:t>
            </w:r>
            <w:proofErr w:type="spellEnd"/>
            <w:r w:rsidRPr="00620A7F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620A7F">
              <w:rPr>
                <w:rFonts w:ascii="Candara" w:hAnsi="Candara" w:cs="Calibri"/>
                <w:sz w:val="20"/>
                <w:szCs w:val="20"/>
              </w:rPr>
              <w:t>dari</w:t>
            </w:r>
            <w:proofErr w:type="spellEnd"/>
            <w:r w:rsidRPr="00620A7F">
              <w:rPr>
                <w:rFonts w:ascii="Candara" w:hAnsi="Candara" w:cs="Calibri"/>
                <w:sz w:val="20"/>
                <w:szCs w:val="20"/>
              </w:rPr>
              <w:t xml:space="preserve"> currency options</w:t>
            </w:r>
          </w:p>
        </w:tc>
        <w:tc>
          <w:tcPr>
            <w:tcW w:w="1175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6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6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446070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jc w:val="both"/>
              <w:rPr>
                <w:rFonts w:cstheme="majorBidi"/>
                <w:lang w:val="sv-SE"/>
              </w:rPr>
            </w:pPr>
          </w:p>
        </w:tc>
      </w:tr>
      <w:tr w:rsidR="00042C78" w:rsidRPr="00C83102" w:rsidTr="00620A7F">
        <w:trPr>
          <w:trHeight w:val="1971"/>
        </w:trPr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4A45F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8</w:t>
            </w:r>
            <w:r w:rsidR="00B3754A"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</w:p>
        </w:tc>
        <w:tc>
          <w:tcPr>
            <w:tcW w:w="2695" w:type="dxa"/>
          </w:tcPr>
          <w:p w:rsidR="00620A7F" w:rsidRPr="00725058" w:rsidRDefault="00620A7F" w:rsidP="00620A7F">
            <w:pPr>
              <w:pStyle w:val="BodyTextIndent"/>
              <w:ind w:left="0"/>
              <w:rPr>
                <w:rFonts w:ascii="Candara" w:hAnsi="Candara" w:cs="Calibri"/>
                <w:sz w:val="20"/>
              </w:rPr>
            </w:pPr>
            <w:proofErr w:type="spellStart"/>
            <w:r w:rsidRPr="00725058">
              <w:rPr>
                <w:rFonts w:ascii="Candara" w:hAnsi="Candara" w:cs="Calibri"/>
                <w:sz w:val="20"/>
              </w:rPr>
              <w:t>mahasiswa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menguasai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tentang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foreign exchange exposure</w:t>
            </w:r>
          </w:p>
          <w:p w:rsidR="00B3754A" w:rsidRPr="00C83102" w:rsidRDefault="00B3754A" w:rsidP="004A45F3">
            <w:pPr>
              <w:pStyle w:val="BodyText"/>
              <w:jc w:val="left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0A7F" w:rsidRPr="00725058" w:rsidRDefault="00620A7F" w:rsidP="00620A7F">
            <w:pPr>
              <w:numPr>
                <w:ilvl w:val="0"/>
                <w:numId w:val="21"/>
              </w:numPr>
              <w:ind w:left="252" w:hanging="270"/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725058">
              <w:rPr>
                <w:rFonts w:ascii="Candara" w:hAnsi="Candara" w:cs="Calibri"/>
                <w:sz w:val="20"/>
                <w:szCs w:val="20"/>
              </w:rPr>
              <w:t>Transaction exposure</w:t>
            </w:r>
          </w:p>
          <w:p w:rsidR="00620A7F" w:rsidRPr="00725058" w:rsidRDefault="00620A7F" w:rsidP="00620A7F">
            <w:pPr>
              <w:numPr>
                <w:ilvl w:val="0"/>
                <w:numId w:val="21"/>
              </w:numPr>
              <w:ind w:left="252" w:hanging="270"/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725058">
              <w:rPr>
                <w:rFonts w:ascii="Candara" w:hAnsi="Candara" w:cs="Calibri"/>
                <w:sz w:val="20"/>
                <w:szCs w:val="20"/>
              </w:rPr>
              <w:t>Economic exposure</w:t>
            </w:r>
          </w:p>
          <w:p w:rsidR="00620A7F" w:rsidRPr="00725058" w:rsidRDefault="00620A7F" w:rsidP="00620A7F">
            <w:pPr>
              <w:numPr>
                <w:ilvl w:val="0"/>
                <w:numId w:val="21"/>
              </w:numPr>
              <w:ind w:left="252" w:hanging="270"/>
              <w:jc w:val="both"/>
              <w:rPr>
                <w:rFonts w:ascii="Candara" w:hAnsi="Candara" w:cs="Calibri"/>
                <w:sz w:val="20"/>
                <w:szCs w:val="20"/>
              </w:rPr>
            </w:pP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Translataion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exposure</w:t>
            </w:r>
          </w:p>
          <w:p w:rsidR="00B3754A" w:rsidRPr="00C83102" w:rsidRDefault="00620A7F" w:rsidP="00620A7F">
            <w:pPr>
              <w:rPr>
                <w:rFonts w:cstheme="majorBidi"/>
              </w:rPr>
            </w:pP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Peramalan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kurs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  <w:p w:rsidR="00B3754A" w:rsidRPr="00C83102" w:rsidRDefault="00B3754A" w:rsidP="00B3754A">
            <w:pPr>
              <w:rPr>
                <w:rFonts w:eastAsia="Times New Roman" w:cstheme="majorBidi"/>
              </w:rPr>
            </w:pPr>
          </w:p>
          <w:p w:rsidR="00B3754A" w:rsidRPr="00C83102" w:rsidRDefault="00B3754A" w:rsidP="00B3754A">
            <w:pPr>
              <w:rPr>
                <w:rFonts w:eastAsia="Times New Roman" w:cstheme="majorBidi"/>
              </w:rPr>
            </w:pPr>
          </w:p>
          <w:p w:rsidR="00B3754A" w:rsidRPr="00C83102" w:rsidRDefault="00B3754A" w:rsidP="00B3754A">
            <w:pPr>
              <w:rPr>
                <w:rFonts w:eastAsia="Times New Roman" w:cstheme="majorBidi"/>
              </w:rPr>
            </w:pPr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1175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7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="004A45F3"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7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7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446070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rPr>
                <w:rFonts w:cstheme="majorBidi"/>
              </w:rPr>
            </w:pPr>
          </w:p>
        </w:tc>
      </w:tr>
      <w:tr w:rsidR="00446070" w:rsidRPr="00C83102" w:rsidTr="00874ACA">
        <w:tc>
          <w:tcPr>
            <w:tcW w:w="743" w:type="dxa"/>
            <w:tcBorders>
              <w:left w:val="thinThickSmallGap" w:sz="24" w:space="0" w:color="auto"/>
            </w:tcBorders>
          </w:tcPr>
          <w:p w:rsidR="00446070" w:rsidRPr="00C83102" w:rsidRDefault="004A45F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9</w:t>
            </w:r>
            <w:r w:rsidR="00446070"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</w:p>
        </w:tc>
        <w:tc>
          <w:tcPr>
            <w:tcW w:w="12265" w:type="dxa"/>
            <w:gridSpan w:val="8"/>
            <w:tcBorders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446070" w:rsidRPr="00C83102" w:rsidRDefault="00446070" w:rsidP="00874ACA">
            <w:pPr>
              <w:jc w:val="center"/>
              <w:rPr>
                <w:rFonts w:cstheme="majorBidi"/>
                <w:b/>
              </w:rPr>
            </w:pPr>
            <w:r w:rsidRPr="00C83102">
              <w:rPr>
                <w:rFonts w:cstheme="majorBidi"/>
                <w:b/>
              </w:rPr>
              <w:t xml:space="preserve">UJIAN </w:t>
            </w:r>
            <w:r w:rsidR="00874ACA" w:rsidRPr="00C83102">
              <w:rPr>
                <w:rFonts w:cstheme="majorBidi"/>
                <w:b/>
              </w:rPr>
              <w:t>MID</w:t>
            </w:r>
            <w:r w:rsidRPr="00C83102">
              <w:rPr>
                <w:rFonts w:cstheme="majorBidi"/>
                <w:b/>
              </w:rPr>
              <w:t xml:space="preserve"> SEMESTER</w:t>
            </w:r>
          </w:p>
        </w:tc>
      </w:tr>
      <w:tr w:rsidR="00B3754A" w:rsidRPr="00C83102" w:rsidTr="00620A7F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4A45F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10</w:t>
            </w:r>
            <w:r w:rsidR="00B3754A"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</w:p>
        </w:tc>
        <w:tc>
          <w:tcPr>
            <w:tcW w:w="2695" w:type="dxa"/>
          </w:tcPr>
          <w:p w:rsidR="00620A7F" w:rsidRPr="00725058" w:rsidRDefault="00620A7F" w:rsidP="00620A7F">
            <w:pPr>
              <w:pStyle w:val="BodyTextIndent"/>
              <w:ind w:left="0"/>
              <w:rPr>
                <w:rFonts w:ascii="Candara" w:hAnsi="Candara" w:cs="Calibri"/>
                <w:sz w:val="20"/>
              </w:rPr>
            </w:pPr>
            <w:proofErr w:type="spellStart"/>
            <w:r w:rsidRPr="00725058">
              <w:rPr>
                <w:rFonts w:ascii="Candara" w:hAnsi="Candara" w:cs="Calibri"/>
                <w:sz w:val="20"/>
              </w:rPr>
              <w:t>mahasiswa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menguasai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tentang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hedging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dengan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menggunakan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teknik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internal</w:t>
            </w:r>
          </w:p>
          <w:p w:rsidR="00620A7F" w:rsidRPr="00725058" w:rsidRDefault="00620A7F" w:rsidP="00620A7F">
            <w:pPr>
              <w:autoSpaceDE w:val="0"/>
              <w:autoSpaceDN w:val="0"/>
              <w:adjustRightInd w:val="0"/>
              <w:rPr>
                <w:rFonts w:ascii="Candara" w:hAnsi="Candara" w:cs="Calibri"/>
                <w:sz w:val="20"/>
                <w:szCs w:val="20"/>
              </w:rPr>
            </w:pPr>
          </w:p>
          <w:p w:rsidR="00B3754A" w:rsidRPr="00C83102" w:rsidRDefault="00B3754A" w:rsidP="00F730D2">
            <w:pPr>
              <w:rPr>
                <w:rFonts w:cstheme="majorBidi"/>
              </w:rPr>
            </w:pPr>
          </w:p>
        </w:tc>
        <w:tc>
          <w:tcPr>
            <w:tcW w:w="1800" w:type="dxa"/>
          </w:tcPr>
          <w:p w:rsidR="00620A7F" w:rsidRPr="00725058" w:rsidRDefault="004A45F3" w:rsidP="00620A7F">
            <w:pPr>
              <w:numPr>
                <w:ilvl w:val="0"/>
                <w:numId w:val="21"/>
              </w:numPr>
              <w:ind w:left="252" w:hanging="270"/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C83102">
              <w:rPr>
                <w:rFonts w:cstheme="majorBidi"/>
              </w:rPr>
              <w:lastRenderedPageBreak/>
              <w:t xml:space="preserve"> </w:t>
            </w:r>
            <w:r w:rsidR="00620A7F"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="00620A7F" w:rsidRPr="00725058">
              <w:rPr>
                <w:rFonts w:ascii="Candara" w:hAnsi="Candara" w:cs="Calibri"/>
                <w:sz w:val="20"/>
                <w:szCs w:val="20"/>
              </w:rPr>
              <w:t>Jenis</w:t>
            </w:r>
            <w:proofErr w:type="spellEnd"/>
            <w:r w:rsidR="00620A7F"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="00620A7F" w:rsidRPr="00725058">
              <w:rPr>
                <w:rFonts w:ascii="Candara" w:hAnsi="Candara" w:cs="Calibri"/>
                <w:sz w:val="20"/>
                <w:szCs w:val="20"/>
              </w:rPr>
              <w:t>risiko</w:t>
            </w:r>
            <w:proofErr w:type="spellEnd"/>
            <w:r w:rsidR="00620A7F"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="00620A7F" w:rsidRPr="00725058">
              <w:rPr>
                <w:rFonts w:ascii="Candara" w:hAnsi="Candara" w:cs="Calibri"/>
                <w:sz w:val="20"/>
                <w:szCs w:val="20"/>
              </w:rPr>
              <w:t>kurs</w:t>
            </w:r>
            <w:proofErr w:type="spellEnd"/>
            <w:r w:rsidR="00620A7F"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</w:p>
          <w:p w:rsidR="00620A7F" w:rsidRPr="00725058" w:rsidRDefault="00620A7F" w:rsidP="00620A7F">
            <w:pPr>
              <w:numPr>
                <w:ilvl w:val="0"/>
                <w:numId w:val="21"/>
              </w:numPr>
              <w:ind w:left="252" w:hanging="270"/>
              <w:jc w:val="both"/>
              <w:rPr>
                <w:rFonts w:ascii="Candara" w:hAnsi="Candara" w:cs="Calibri"/>
                <w:sz w:val="20"/>
                <w:szCs w:val="20"/>
              </w:rPr>
            </w:pP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Prinsip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mengelola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risiko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kurs</w:t>
            </w:r>
            <w:proofErr w:type="spellEnd"/>
          </w:p>
          <w:p w:rsidR="00B3754A" w:rsidRPr="00C83102" w:rsidRDefault="00620A7F" w:rsidP="00620A7F">
            <w:pPr>
              <w:pStyle w:val="BodyText"/>
              <w:jc w:val="left"/>
              <w:rPr>
                <w:rFonts w:asciiTheme="minorHAnsi" w:hAnsiTheme="minorHAnsi" w:cstheme="majorBidi"/>
                <w:sz w:val="22"/>
                <w:szCs w:val="22"/>
              </w:rPr>
            </w:pPr>
            <w:proofErr w:type="spellStart"/>
            <w:r w:rsidRPr="00725058">
              <w:rPr>
                <w:rFonts w:ascii="Candara" w:hAnsi="Candara" w:cs="Calibri"/>
                <w:sz w:val="20"/>
              </w:rPr>
              <w:lastRenderedPageBreak/>
              <w:t>Teknik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internal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untuk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mengelola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risiko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kurs</w:t>
            </w:r>
            <w:proofErr w:type="spellEnd"/>
          </w:p>
        </w:tc>
        <w:tc>
          <w:tcPr>
            <w:tcW w:w="1175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lastRenderedPageBreak/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lastRenderedPageBreak/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="004A45F3"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8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</w:t>
            </w:r>
            <w:r w:rsidRPr="00C83102">
              <w:rPr>
                <w:rFonts w:cstheme="majorBidi"/>
              </w:rPr>
              <w:lastRenderedPageBreak/>
              <w:t>kasus</w:t>
            </w:r>
            <w:proofErr w:type="spellEnd"/>
          </w:p>
        </w:tc>
        <w:tc>
          <w:tcPr>
            <w:tcW w:w="1074" w:type="dxa"/>
          </w:tcPr>
          <w:p w:rsidR="00446070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lastRenderedPageBreak/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lastRenderedPageBreak/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rPr>
                <w:rFonts w:cstheme="majorBidi"/>
              </w:rPr>
            </w:pPr>
          </w:p>
        </w:tc>
      </w:tr>
      <w:tr w:rsidR="00B3754A" w:rsidRPr="00C83102" w:rsidTr="00620A7F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4A45F3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lastRenderedPageBreak/>
              <w:t>11</w:t>
            </w:r>
            <w:r w:rsidR="00B3754A" w:rsidRPr="00C83102">
              <w:rPr>
                <w:rFonts w:asciiTheme="minorHAnsi" w:hAnsiTheme="minorHAnsi" w:cstheme="majorBidi"/>
                <w:sz w:val="22"/>
                <w:szCs w:val="22"/>
              </w:rPr>
              <w:t>.</w:t>
            </w:r>
          </w:p>
        </w:tc>
        <w:tc>
          <w:tcPr>
            <w:tcW w:w="2695" w:type="dxa"/>
          </w:tcPr>
          <w:p w:rsidR="00620A7F" w:rsidRPr="00725058" w:rsidRDefault="00620A7F" w:rsidP="00620A7F">
            <w:pPr>
              <w:pStyle w:val="BodyTextIndent"/>
              <w:ind w:left="0"/>
              <w:rPr>
                <w:rFonts w:ascii="Candara" w:hAnsi="Candara" w:cs="Calibri"/>
                <w:sz w:val="20"/>
              </w:rPr>
            </w:pPr>
            <w:proofErr w:type="spellStart"/>
            <w:r w:rsidRPr="00725058">
              <w:rPr>
                <w:rFonts w:ascii="Candara" w:hAnsi="Candara" w:cs="Calibri"/>
                <w:sz w:val="20"/>
              </w:rPr>
              <w:t>mahasiswa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menguasai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tentang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hedging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dengan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menggunakan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teknik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eksternal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1800" w:type="dxa"/>
          </w:tcPr>
          <w:p w:rsidR="00B3754A" w:rsidRPr="00C83102" w:rsidRDefault="00620A7F" w:rsidP="00B3754A">
            <w:pPr>
              <w:rPr>
                <w:rFonts w:cstheme="majorBidi"/>
                <w:lang w:val="sv-SE"/>
              </w:rPr>
            </w:pP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Teknik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eksternal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untuk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mengelola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risiko</w:t>
            </w:r>
            <w:proofErr w:type="spellEnd"/>
            <w:r w:rsidRPr="00725058">
              <w:rPr>
                <w:rFonts w:ascii="Candara" w:hAnsi="Candara" w:cs="Calibri"/>
                <w:sz w:val="20"/>
                <w:szCs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  <w:szCs w:val="20"/>
              </w:rPr>
              <w:t>kurs</w:t>
            </w:r>
            <w:proofErr w:type="spellEnd"/>
          </w:p>
        </w:tc>
        <w:tc>
          <w:tcPr>
            <w:tcW w:w="1175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9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="004A45F3"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446070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rPr>
                <w:rFonts w:cstheme="majorBidi"/>
              </w:rPr>
            </w:pPr>
          </w:p>
        </w:tc>
      </w:tr>
      <w:tr w:rsidR="00B3754A" w:rsidRPr="00C83102" w:rsidTr="00620A7F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B8306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12</w:t>
            </w:r>
            <w:r w:rsidR="00620A7F">
              <w:rPr>
                <w:rFonts w:asciiTheme="minorHAnsi" w:hAnsiTheme="minorHAnsi" w:cstheme="majorBidi"/>
                <w:sz w:val="22"/>
                <w:szCs w:val="22"/>
              </w:rPr>
              <w:t>,</w:t>
            </w:r>
            <w:r w:rsidR="00B3754A" w:rsidRPr="00C83102">
              <w:rPr>
                <w:rFonts w:asciiTheme="minorHAnsi" w:hAnsiTheme="minorHAnsi" w:cstheme="majorBidi"/>
                <w:sz w:val="22"/>
                <w:szCs w:val="22"/>
              </w:rPr>
              <w:t>1</w:t>
            </w: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3</w:t>
            </w:r>
          </w:p>
        </w:tc>
        <w:tc>
          <w:tcPr>
            <w:tcW w:w="2695" w:type="dxa"/>
          </w:tcPr>
          <w:p w:rsidR="00620A7F" w:rsidRPr="00725058" w:rsidRDefault="00620A7F" w:rsidP="00620A7F">
            <w:pPr>
              <w:pStyle w:val="BodyTextIndent"/>
              <w:ind w:left="0"/>
              <w:rPr>
                <w:rFonts w:ascii="Candara" w:hAnsi="Candara" w:cs="Calibri"/>
                <w:sz w:val="20"/>
              </w:rPr>
            </w:pPr>
            <w:proofErr w:type="spellStart"/>
            <w:r w:rsidRPr="00725058">
              <w:rPr>
                <w:rFonts w:ascii="Candara" w:hAnsi="Candara" w:cs="Calibri"/>
                <w:sz w:val="20"/>
              </w:rPr>
              <w:t>mahasiswa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menguasai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tentang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kondisi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paritas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internasional</w:t>
            </w:r>
            <w:proofErr w:type="spellEnd"/>
          </w:p>
          <w:p w:rsidR="00620A7F" w:rsidRPr="00725058" w:rsidRDefault="00620A7F" w:rsidP="00620A7F">
            <w:pPr>
              <w:autoSpaceDE w:val="0"/>
              <w:autoSpaceDN w:val="0"/>
              <w:adjustRightInd w:val="0"/>
              <w:rPr>
                <w:rFonts w:ascii="Candara" w:hAnsi="Candara" w:cs="Calibri"/>
                <w:sz w:val="20"/>
                <w:szCs w:val="20"/>
              </w:rPr>
            </w:pPr>
          </w:p>
          <w:p w:rsidR="00B3754A" w:rsidRPr="00C83102" w:rsidRDefault="00B3754A" w:rsidP="00B8306A">
            <w:pPr>
              <w:jc w:val="both"/>
              <w:rPr>
                <w:rFonts w:cstheme="majorBidi"/>
                <w:bCs/>
                <w:lang w:val="id-ID"/>
              </w:rPr>
            </w:pPr>
          </w:p>
        </w:tc>
        <w:tc>
          <w:tcPr>
            <w:tcW w:w="1800" w:type="dxa"/>
          </w:tcPr>
          <w:p w:rsidR="00620A7F" w:rsidRPr="00620A7F" w:rsidRDefault="00620A7F" w:rsidP="00620A7F">
            <w:pPr>
              <w:numPr>
                <w:ilvl w:val="1"/>
                <w:numId w:val="22"/>
              </w:numPr>
              <w:autoSpaceDE w:val="0"/>
              <w:autoSpaceDN w:val="0"/>
              <w:adjustRightInd w:val="0"/>
              <w:ind w:left="252" w:hanging="252"/>
              <w:rPr>
                <w:rFonts w:ascii="Candara" w:hAnsi="Candara" w:cs="Calibri"/>
                <w:sz w:val="20"/>
                <w:szCs w:val="20"/>
              </w:rPr>
            </w:pPr>
            <w:r>
              <w:rPr>
                <w:rFonts w:ascii="Candara" w:eastAsia="Times New Roman" w:hAnsi="Candara" w:cs="Calibri"/>
                <w:sz w:val="20"/>
                <w:szCs w:val="20"/>
              </w:rPr>
              <w:t xml:space="preserve">Purchasing power </w:t>
            </w:r>
            <w:proofErr w:type="spellStart"/>
            <w:r>
              <w:rPr>
                <w:rFonts w:ascii="Candara" w:eastAsia="Times New Roman" w:hAnsi="Candara" w:cs="Calibri"/>
                <w:sz w:val="20"/>
                <w:szCs w:val="20"/>
              </w:rPr>
              <w:t>parit</w:t>
            </w:r>
            <w:proofErr w:type="spellEnd"/>
          </w:p>
          <w:p w:rsidR="00B3754A" w:rsidRPr="00620A7F" w:rsidRDefault="00620A7F" w:rsidP="00620A7F">
            <w:pPr>
              <w:numPr>
                <w:ilvl w:val="1"/>
                <w:numId w:val="22"/>
              </w:numPr>
              <w:autoSpaceDE w:val="0"/>
              <w:autoSpaceDN w:val="0"/>
              <w:adjustRightInd w:val="0"/>
              <w:ind w:left="252" w:hanging="252"/>
              <w:rPr>
                <w:rFonts w:ascii="Candara" w:hAnsi="Candara" w:cs="Calibri"/>
                <w:sz w:val="20"/>
                <w:szCs w:val="20"/>
              </w:rPr>
            </w:pPr>
            <w:r w:rsidRPr="00620A7F">
              <w:rPr>
                <w:rFonts w:ascii="Candara" w:eastAsia="Times New Roman" w:hAnsi="Candara" w:cs="Calibri"/>
                <w:sz w:val="20"/>
                <w:szCs w:val="20"/>
              </w:rPr>
              <w:t>Interest rate parity</w:t>
            </w:r>
          </w:p>
        </w:tc>
        <w:tc>
          <w:tcPr>
            <w:tcW w:w="1175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10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="004A45F3"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10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446070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rPr>
                <w:rFonts w:cstheme="majorBidi"/>
              </w:rPr>
            </w:pPr>
          </w:p>
        </w:tc>
      </w:tr>
      <w:tr w:rsidR="00B3754A" w:rsidRPr="00C83102" w:rsidTr="00620A7F">
        <w:tc>
          <w:tcPr>
            <w:tcW w:w="743" w:type="dxa"/>
            <w:tcBorders>
              <w:left w:val="thinThickSmallGap" w:sz="24" w:space="0" w:color="auto"/>
            </w:tcBorders>
          </w:tcPr>
          <w:p w:rsidR="00B3754A" w:rsidRPr="00C83102" w:rsidRDefault="00B8306A" w:rsidP="00B8306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14</w:t>
            </w:r>
            <w:r w:rsidR="00B3754A" w:rsidRPr="00C83102"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2695" w:type="dxa"/>
          </w:tcPr>
          <w:p w:rsidR="00620A7F" w:rsidRPr="00725058" w:rsidRDefault="00620A7F" w:rsidP="00620A7F">
            <w:pPr>
              <w:pStyle w:val="BodyTextIndent"/>
              <w:ind w:left="0"/>
              <w:rPr>
                <w:rFonts w:ascii="Candara" w:hAnsi="Candara" w:cs="Calibri"/>
                <w:sz w:val="20"/>
              </w:rPr>
            </w:pPr>
            <w:proofErr w:type="spellStart"/>
            <w:r w:rsidRPr="00725058">
              <w:rPr>
                <w:rFonts w:ascii="Candara" w:hAnsi="Candara" w:cs="Calibri"/>
                <w:sz w:val="20"/>
              </w:rPr>
              <w:t>mahasiswa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menguasai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tentang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kondisi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paritas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internasional</w:t>
            </w:r>
            <w:proofErr w:type="spellEnd"/>
          </w:p>
          <w:p w:rsidR="00620A7F" w:rsidRPr="00725058" w:rsidRDefault="00620A7F" w:rsidP="00620A7F">
            <w:pPr>
              <w:autoSpaceDE w:val="0"/>
              <w:autoSpaceDN w:val="0"/>
              <w:adjustRightInd w:val="0"/>
              <w:rPr>
                <w:rFonts w:ascii="Candara" w:hAnsi="Candara" w:cs="Calibri"/>
                <w:sz w:val="20"/>
                <w:szCs w:val="20"/>
              </w:rPr>
            </w:pPr>
          </w:p>
          <w:p w:rsidR="00B3754A" w:rsidRPr="00C83102" w:rsidRDefault="00B3754A" w:rsidP="00B8306A">
            <w:pPr>
              <w:pStyle w:val="BodyText"/>
              <w:jc w:val="left"/>
              <w:rPr>
                <w:rFonts w:asciiTheme="minorHAnsi" w:hAnsiTheme="minorHAnsi" w:cstheme="majorBidi"/>
                <w:i/>
                <w:iCs/>
                <w:sz w:val="22"/>
                <w:szCs w:val="22"/>
              </w:rPr>
            </w:pPr>
          </w:p>
        </w:tc>
        <w:tc>
          <w:tcPr>
            <w:tcW w:w="1800" w:type="dxa"/>
          </w:tcPr>
          <w:p w:rsidR="00620A7F" w:rsidRPr="00620A7F" w:rsidRDefault="00620A7F" w:rsidP="00620A7F">
            <w:pPr>
              <w:numPr>
                <w:ilvl w:val="1"/>
                <w:numId w:val="22"/>
              </w:numPr>
              <w:autoSpaceDE w:val="0"/>
              <w:autoSpaceDN w:val="0"/>
              <w:adjustRightInd w:val="0"/>
              <w:ind w:left="252" w:hanging="252"/>
              <w:rPr>
                <w:rFonts w:ascii="Candara" w:hAnsi="Candara" w:cs="Calibri"/>
                <w:sz w:val="20"/>
                <w:szCs w:val="20"/>
              </w:rPr>
            </w:pPr>
            <w:r w:rsidRPr="00725058">
              <w:rPr>
                <w:rFonts w:ascii="Candara" w:eastAsia="Times New Roman" w:hAnsi="Candara" w:cs="Calibri"/>
                <w:sz w:val="20"/>
                <w:szCs w:val="20"/>
              </w:rPr>
              <w:t>International fisher effect</w:t>
            </w:r>
          </w:p>
          <w:p w:rsidR="00B3754A" w:rsidRPr="00620A7F" w:rsidRDefault="00620A7F" w:rsidP="00620A7F">
            <w:pPr>
              <w:numPr>
                <w:ilvl w:val="1"/>
                <w:numId w:val="22"/>
              </w:numPr>
              <w:autoSpaceDE w:val="0"/>
              <w:autoSpaceDN w:val="0"/>
              <w:adjustRightInd w:val="0"/>
              <w:ind w:left="252" w:hanging="252"/>
              <w:rPr>
                <w:rFonts w:ascii="Candara" w:hAnsi="Candara" w:cs="Calibri"/>
                <w:sz w:val="20"/>
                <w:szCs w:val="20"/>
              </w:rPr>
            </w:pPr>
            <w:r w:rsidRPr="00620A7F">
              <w:rPr>
                <w:rFonts w:ascii="Candara" w:hAnsi="Candara" w:cs="Calibri"/>
                <w:sz w:val="20"/>
                <w:szCs w:val="20"/>
              </w:rPr>
              <w:t>Expectations theory</w:t>
            </w:r>
          </w:p>
        </w:tc>
        <w:tc>
          <w:tcPr>
            <w:tcW w:w="1175" w:type="dxa"/>
          </w:tcPr>
          <w:p w:rsidR="00B3754A" w:rsidRPr="00C83102" w:rsidRDefault="00B3754A" w:rsidP="00B3754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992" w:type="dxa"/>
          </w:tcPr>
          <w:p w:rsidR="00B3754A" w:rsidRPr="00C83102" w:rsidRDefault="00B3754A" w:rsidP="00B3754A">
            <w:pPr>
              <w:rPr>
                <w:rFonts w:cstheme="majorBidi"/>
              </w:rPr>
            </w:pPr>
          </w:p>
        </w:tc>
        <w:tc>
          <w:tcPr>
            <w:tcW w:w="1701" w:type="dxa"/>
          </w:tcPr>
          <w:p w:rsidR="00B3754A" w:rsidRPr="00C83102" w:rsidRDefault="00B3754A" w:rsidP="00B3754A">
            <w:pPr>
              <w:pStyle w:val="ListParagraph"/>
              <w:numPr>
                <w:ilvl w:val="0"/>
                <w:numId w:val="11"/>
              </w:numPr>
              <w:ind w:left="252" w:hanging="25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="004A45F3"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1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3754A" w:rsidRPr="00C83102" w:rsidRDefault="00B3754A" w:rsidP="00B3754A">
            <w:pPr>
              <w:pStyle w:val="ListParagraph"/>
              <w:numPr>
                <w:ilvl w:val="0"/>
                <w:numId w:val="11"/>
              </w:numPr>
              <w:ind w:left="252" w:hanging="270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446070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3754A" w:rsidRPr="00C83102" w:rsidRDefault="00446070" w:rsidP="00446070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F9751C" w:rsidRPr="00C83102" w:rsidRDefault="00F9751C" w:rsidP="00F9751C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3754A" w:rsidRPr="00C83102" w:rsidRDefault="00F9751C" w:rsidP="00F9751C">
            <w:pPr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3754A" w:rsidRPr="00C83102" w:rsidRDefault="00B3754A" w:rsidP="00B3754A">
            <w:pPr>
              <w:rPr>
                <w:rFonts w:cstheme="majorBidi"/>
              </w:rPr>
            </w:pPr>
          </w:p>
        </w:tc>
      </w:tr>
      <w:tr w:rsidR="00B8306A" w:rsidRPr="00C83102" w:rsidTr="00620A7F">
        <w:tc>
          <w:tcPr>
            <w:tcW w:w="743" w:type="dxa"/>
            <w:tcBorders>
              <w:left w:val="thinThickSmallGap" w:sz="24" w:space="0" w:color="auto"/>
            </w:tcBorders>
          </w:tcPr>
          <w:p w:rsidR="00B8306A" w:rsidRPr="00C83102" w:rsidRDefault="00B8306A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15.</w:t>
            </w:r>
          </w:p>
        </w:tc>
        <w:tc>
          <w:tcPr>
            <w:tcW w:w="2695" w:type="dxa"/>
          </w:tcPr>
          <w:p w:rsidR="00620A7F" w:rsidRPr="00725058" w:rsidRDefault="00620A7F" w:rsidP="00620A7F">
            <w:pPr>
              <w:pStyle w:val="BodyTextIndent"/>
              <w:ind w:left="0"/>
              <w:rPr>
                <w:rFonts w:ascii="Candara" w:hAnsi="Candara" w:cs="Calibri"/>
                <w:sz w:val="20"/>
              </w:rPr>
            </w:pPr>
            <w:proofErr w:type="spellStart"/>
            <w:r w:rsidRPr="00725058">
              <w:rPr>
                <w:rFonts w:ascii="Candara" w:hAnsi="Candara" w:cs="Calibri"/>
                <w:sz w:val="20"/>
              </w:rPr>
              <w:t>mahasiswa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menguasai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</w:t>
            </w:r>
            <w:proofErr w:type="spellStart"/>
            <w:r w:rsidRPr="00725058">
              <w:rPr>
                <w:rFonts w:ascii="Candara" w:hAnsi="Candara" w:cs="Calibri"/>
                <w:sz w:val="20"/>
              </w:rPr>
              <w:t>tentang</w:t>
            </w:r>
            <w:proofErr w:type="spellEnd"/>
            <w:r w:rsidRPr="00725058">
              <w:rPr>
                <w:rFonts w:ascii="Candara" w:hAnsi="Candara" w:cs="Calibri"/>
                <w:sz w:val="20"/>
              </w:rPr>
              <w:t xml:space="preserve"> swaps</w:t>
            </w:r>
          </w:p>
          <w:p w:rsidR="00B8306A" w:rsidRPr="00C83102" w:rsidRDefault="00B8306A" w:rsidP="00B8306A">
            <w:pPr>
              <w:pStyle w:val="BodyText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:rsidR="00620A7F" w:rsidRPr="00725058" w:rsidRDefault="00620A7F" w:rsidP="00620A7F">
            <w:pPr>
              <w:numPr>
                <w:ilvl w:val="1"/>
                <w:numId w:val="22"/>
              </w:numPr>
              <w:autoSpaceDE w:val="0"/>
              <w:autoSpaceDN w:val="0"/>
              <w:adjustRightInd w:val="0"/>
              <w:ind w:left="252" w:hanging="252"/>
              <w:rPr>
                <w:rFonts w:ascii="Candara" w:hAnsi="Candara" w:cs="Calibri"/>
                <w:sz w:val="20"/>
                <w:szCs w:val="20"/>
              </w:rPr>
            </w:pPr>
            <w:proofErr w:type="spellStart"/>
            <w:r w:rsidRPr="00725058">
              <w:rPr>
                <w:rFonts w:ascii="Candara" w:eastAsia="Times New Roman" w:hAnsi="Candara" w:cs="Calibri"/>
                <w:sz w:val="20"/>
                <w:szCs w:val="20"/>
              </w:rPr>
              <w:t>Pengertian</w:t>
            </w:r>
            <w:proofErr w:type="spellEnd"/>
            <w:r w:rsidRPr="00725058">
              <w:rPr>
                <w:rFonts w:ascii="Candara" w:eastAsia="Times New Roman" w:hAnsi="Candara" w:cs="Calibri"/>
                <w:sz w:val="20"/>
                <w:szCs w:val="20"/>
              </w:rPr>
              <w:t xml:space="preserve"> swaps</w:t>
            </w:r>
          </w:p>
          <w:p w:rsidR="00620A7F" w:rsidRPr="00620A7F" w:rsidRDefault="00620A7F" w:rsidP="00620A7F">
            <w:pPr>
              <w:numPr>
                <w:ilvl w:val="1"/>
                <w:numId w:val="22"/>
              </w:numPr>
              <w:autoSpaceDE w:val="0"/>
              <w:autoSpaceDN w:val="0"/>
              <w:adjustRightInd w:val="0"/>
              <w:ind w:left="252" w:hanging="252"/>
              <w:rPr>
                <w:rFonts w:ascii="Candara" w:hAnsi="Candara" w:cs="Calibri"/>
                <w:sz w:val="20"/>
                <w:szCs w:val="20"/>
              </w:rPr>
            </w:pPr>
            <w:r w:rsidRPr="00725058">
              <w:rPr>
                <w:rFonts w:ascii="Candara" w:eastAsia="Times New Roman" w:hAnsi="Candara" w:cs="Calibri"/>
                <w:sz w:val="20"/>
                <w:szCs w:val="20"/>
              </w:rPr>
              <w:t>Interest rate swaps</w:t>
            </w:r>
          </w:p>
          <w:p w:rsidR="00B8306A" w:rsidRPr="00620A7F" w:rsidRDefault="00620A7F" w:rsidP="00620A7F">
            <w:pPr>
              <w:numPr>
                <w:ilvl w:val="1"/>
                <w:numId w:val="22"/>
              </w:numPr>
              <w:autoSpaceDE w:val="0"/>
              <w:autoSpaceDN w:val="0"/>
              <w:adjustRightInd w:val="0"/>
              <w:ind w:left="252" w:hanging="252"/>
              <w:rPr>
                <w:rFonts w:ascii="Candara" w:hAnsi="Candara" w:cs="Calibri"/>
                <w:sz w:val="20"/>
                <w:szCs w:val="20"/>
              </w:rPr>
            </w:pPr>
            <w:r w:rsidRPr="00620A7F">
              <w:rPr>
                <w:rFonts w:ascii="Candara" w:eastAsia="Times New Roman" w:hAnsi="Candara" w:cs="Calibri"/>
                <w:sz w:val="20"/>
                <w:szCs w:val="20"/>
              </w:rPr>
              <w:t>Currency swaps</w:t>
            </w:r>
          </w:p>
        </w:tc>
        <w:tc>
          <w:tcPr>
            <w:tcW w:w="1175" w:type="dxa"/>
          </w:tcPr>
          <w:p w:rsidR="00B8306A" w:rsidRPr="00C83102" w:rsidRDefault="00B8306A" w:rsidP="00B8306A">
            <w:pPr>
              <w:pStyle w:val="ListParagraph"/>
              <w:ind w:left="162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Ceramahdan</w:t>
            </w:r>
            <w:proofErr w:type="spellEnd"/>
            <w:r w:rsidRPr="00C83102">
              <w:rPr>
                <w:rFonts w:cstheme="majorBidi"/>
              </w:rPr>
              <w:t xml:space="preserve"> Tanya </w:t>
            </w:r>
            <w:proofErr w:type="spellStart"/>
            <w:r w:rsidRPr="00C83102">
              <w:rPr>
                <w:rFonts w:cstheme="majorBidi"/>
              </w:rPr>
              <w:t>Jawab</w:t>
            </w:r>
            <w:proofErr w:type="spellEnd"/>
          </w:p>
          <w:p w:rsidR="00B8306A" w:rsidRPr="00C83102" w:rsidRDefault="00B8306A" w:rsidP="00B3754A">
            <w:pPr>
              <w:pStyle w:val="ListParagraph"/>
              <w:ind w:left="162"/>
              <w:rPr>
                <w:rFonts w:cstheme="majorBidi"/>
              </w:rPr>
            </w:pPr>
          </w:p>
        </w:tc>
        <w:tc>
          <w:tcPr>
            <w:tcW w:w="992" w:type="dxa"/>
          </w:tcPr>
          <w:p w:rsidR="00B8306A" w:rsidRPr="00C83102" w:rsidRDefault="00B8306A" w:rsidP="00B3754A">
            <w:pPr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3 x 50 </w:t>
            </w:r>
            <w:proofErr w:type="spellStart"/>
            <w:r w:rsidRPr="00C83102">
              <w:rPr>
                <w:rFonts w:cstheme="majorBidi"/>
              </w:rPr>
              <w:t>menit</w:t>
            </w:r>
            <w:proofErr w:type="spellEnd"/>
          </w:p>
        </w:tc>
        <w:tc>
          <w:tcPr>
            <w:tcW w:w="1701" w:type="dxa"/>
          </w:tcPr>
          <w:p w:rsidR="00B8306A" w:rsidRPr="00C83102" w:rsidRDefault="00B8306A" w:rsidP="00B8306A">
            <w:pPr>
              <w:pStyle w:val="ListParagraph"/>
              <w:numPr>
                <w:ilvl w:val="0"/>
                <w:numId w:val="14"/>
              </w:numPr>
              <w:ind w:left="335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Diskusi</w:t>
            </w:r>
            <w:proofErr w:type="spellEnd"/>
            <w:r w:rsidRPr="00C83102">
              <w:rPr>
                <w:rFonts w:cstheme="majorBidi"/>
              </w:rPr>
              <w:t xml:space="preserve"> </w:t>
            </w:r>
            <w:proofErr w:type="spellStart"/>
            <w:r w:rsidRPr="00C83102">
              <w:rPr>
                <w:rFonts w:cstheme="majorBidi"/>
              </w:rPr>
              <w:t>Kelompok</w:t>
            </w:r>
            <w:proofErr w:type="spellEnd"/>
          </w:p>
          <w:p w:rsidR="00B8306A" w:rsidRPr="00C83102" w:rsidRDefault="00B8306A" w:rsidP="00B8306A">
            <w:pPr>
              <w:pStyle w:val="ListParagraph"/>
              <w:numPr>
                <w:ilvl w:val="0"/>
                <w:numId w:val="14"/>
              </w:numPr>
              <w:ind w:left="335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Penugasan</w:t>
            </w:r>
            <w:proofErr w:type="spellEnd"/>
          </w:p>
          <w:p w:rsidR="00B8306A" w:rsidRPr="00C83102" w:rsidRDefault="00B8306A" w:rsidP="00B8306A">
            <w:pPr>
              <w:pStyle w:val="ListParagraph"/>
              <w:numPr>
                <w:ilvl w:val="0"/>
                <w:numId w:val="14"/>
              </w:numPr>
              <w:ind w:left="335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Penyelesaiankasus</w:t>
            </w:r>
            <w:proofErr w:type="spellEnd"/>
          </w:p>
        </w:tc>
        <w:tc>
          <w:tcPr>
            <w:tcW w:w="1074" w:type="dxa"/>
          </w:tcPr>
          <w:p w:rsidR="00B8306A" w:rsidRPr="00C83102" w:rsidRDefault="00B8306A" w:rsidP="00B8306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1. </w:t>
            </w:r>
            <w:proofErr w:type="spellStart"/>
            <w:r w:rsidRPr="00C83102">
              <w:rPr>
                <w:rFonts w:cstheme="majorBidi"/>
                <w:bCs/>
              </w:rPr>
              <w:t>Tugas</w:t>
            </w:r>
            <w:proofErr w:type="spellEnd"/>
          </w:p>
          <w:p w:rsidR="00B8306A" w:rsidRPr="00C83102" w:rsidRDefault="00B8306A" w:rsidP="00B8306A">
            <w:pPr>
              <w:rPr>
                <w:rFonts w:cstheme="majorBidi"/>
                <w:bCs/>
              </w:rPr>
            </w:pPr>
            <w:r w:rsidRPr="00C83102">
              <w:rPr>
                <w:rFonts w:cstheme="majorBidi"/>
                <w:bCs/>
              </w:rPr>
              <w:t xml:space="preserve">2. </w:t>
            </w:r>
            <w:proofErr w:type="spellStart"/>
            <w:r w:rsidRPr="00C83102">
              <w:rPr>
                <w:rFonts w:cstheme="majorBidi"/>
                <w:bCs/>
              </w:rPr>
              <w:t>Kuis</w:t>
            </w:r>
            <w:proofErr w:type="spellEnd"/>
          </w:p>
        </w:tc>
        <w:tc>
          <w:tcPr>
            <w:tcW w:w="1843" w:type="dxa"/>
          </w:tcPr>
          <w:p w:rsidR="00B8306A" w:rsidRPr="00C83102" w:rsidRDefault="00B8306A" w:rsidP="00B8306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ketepatan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jawaban</w:t>
            </w:r>
            <w:proofErr w:type="spellEnd"/>
            <w:r w:rsidRPr="00C83102">
              <w:rPr>
                <w:rFonts w:cstheme="majorBidi"/>
                <w:bCs/>
              </w:rPr>
              <w:t>,</w:t>
            </w:r>
          </w:p>
          <w:p w:rsidR="00B8306A" w:rsidRPr="00C83102" w:rsidRDefault="00B8306A" w:rsidP="00B8306A">
            <w:pPr>
              <w:rPr>
                <w:rFonts w:cstheme="majorBidi"/>
                <w:bCs/>
              </w:rPr>
            </w:pPr>
            <w:proofErr w:type="spellStart"/>
            <w:r w:rsidRPr="00C83102">
              <w:rPr>
                <w:rFonts w:cstheme="majorBidi"/>
                <w:bCs/>
              </w:rPr>
              <w:t>Kebenaran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dan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ketajaman</w:t>
            </w:r>
            <w:proofErr w:type="spellEnd"/>
            <w:r w:rsidRPr="00C83102">
              <w:rPr>
                <w:rFonts w:cstheme="majorBidi"/>
                <w:bCs/>
              </w:rPr>
              <w:t xml:space="preserve"> </w:t>
            </w:r>
            <w:proofErr w:type="spellStart"/>
            <w:r w:rsidRPr="00C83102">
              <w:rPr>
                <w:rFonts w:cstheme="majorBidi"/>
                <w:bCs/>
              </w:rPr>
              <w:t>analisis</w:t>
            </w:r>
            <w:proofErr w:type="spellEnd"/>
          </w:p>
        </w:tc>
        <w:tc>
          <w:tcPr>
            <w:tcW w:w="985" w:type="dxa"/>
            <w:tcBorders>
              <w:right w:val="thinThickSmallGap" w:sz="24" w:space="0" w:color="auto"/>
            </w:tcBorders>
          </w:tcPr>
          <w:p w:rsidR="00B8306A" w:rsidRPr="00C83102" w:rsidRDefault="00B8306A" w:rsidP="00B3754A">
            <w:pPr>
              <w:rPr>
                <w:rFonts w:cstheme="majorBidi"/>
              </w:rPr>
            </w:pPr>
          </w:p>
        </w:tc>
      </w:tr>
      <w:tr w:rsidR="00446070" w:rsidRPr="00C83102" w:rsidTr="00874ACA">
        <w:tc>
          <w:tcPr>
            <w:tcW w:w="743" w:type="dxa"/>
            <w:tcBorders>
              <w:left w:val="thinThickSmallGap" w:sz="24" w:space="0" w:color="auto"/>
            </w:tcBorders>
          </w:tcPr>
          <w:p w:rsidR="00446070" w:rsidRPr="00C83102" w:rsidRDefault="00446070" w:rsidP="00B3754A">
            <w:pPr>
              <w:pStyle w:val="BodyText"/>
              <w:rPr>
                <w:rFonts w:asciiTheme="minorHAnsi" w:hAnsiTheme="minorHAnsi" w:cstheme="majorBidi"/>
                <w:sz w:val="22"/>
                <w:szCs w:val="22"/>
              </w:rPr>
            </w:pPr>
            <w:r w:rsidRPr="00C83102">
              <w:rPr>
                <w:rFonts w:asciiTheme="minorHAnsi" w:hAnsiTheme="minorHAnsi" w:cstheme="majorBidi"/>
                <w:sz w:val="22"/>
                <w:szCs w:val="22"/>
              </w:rPr>
              <w:t>1</w:t>
            </w:r>
            <w:r w:rsidR="00B8306A" w:rsidRPr="00C83102">
              <w:rPr>
                <w:rFonts w:asciiTheme="minorHAnsi" w:hAnsiTheme="minorHAnsi" w:cstheme="majorBidi"/>
                <w:sz w:val="22"/>
                <w:szCs w:val="22"/>
              </w:rPr>
              <w:t>6.</w:t>
            </w:r>
          </w:p>
        </w:tc>
        <w:tc>
          <w:tcPr>
            <w:tcW w:w="12265" w:type="dxa"/>
            <w:gridSpan w:val="8"/>
            <w:tcBorders>
              <w:right w:val="thinThickSmallGap" w:sz="24" w:space="0" w:color="auto"/>
            </w:tcBorders>
            <w:shd w:val="clear" w:color="auto" w:fill="FBD4B4" w:themeFill="accent6" w:themeFillTint="66"/>
          </w:tcPr>
          <w:p w:rsidR="00446070" w:rsidRPr="00C83102" w:rsidRDefault="00446070" w:rsidP="00B3754A">
            <w:pPr>
              <w:jc w:val="center"/>
              <w:rPr>
                <w:rFonts w:cstheme="majorBidi"/>
                <w:b/>
              </w:rPr>
            </w:pPr>
            <w:r w:rsidRPr="00C83102">
              <w:rPr>
                <w:rFonts w:cstheme="majorBidi"/>
                <w:b/>
              </w:rPr>
              <w:t>UJIAN AKHIR SEMESTER</w:t>
            </w:r>
          </w:p>
        </w:tc>
      </w:tr>
      <w:tr w:rsidR="00A30327" w:rsidRPr="00C83102" w:rsidTr="00620A7F">
        <w:tc>
          <w:tcPr>
            <w:tcW w:w="3438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30327" w:rsidRPr="00C83102" w:rsidRDefault="00A30327" w:rsidP="00B3754A">
            <w:pPr>
              <w:rPr>
                <w:rFonts w:cstheme="majorBidi"/>
                <w:b/>
              </w:rPr>
            </w:pPr>
            <w:proofErr w:type="spellStart"/>
            <w:r w:rsidRPr="00C83102">
              <w:rPr>
                <w:rFonts w:cstheme="majorBidi"/>
                <w:b/>
              </w:rPr>
              <w:t>Bobot</w:t>
            </w:r>
            <w:proofErr w:type="spellEnd"/>
            <w:r w:rsidR="0021544E">
              <w:rPr>
                <w:rFonts w:cstheme="majorBidi"/>
                <w:b/>
              </w:rPr>
              <w:t xml:space="preserve"> </w:t>
            </w:r>
            <w:proofErr w:type="spellStart"/>
            <w:r w:rsidRPr="00C83102">
              <w:rPr>
                <w:rFonts w:cstheme="majorBidi"/>
                <w:b/>
              </w:rPr>
              <w:t>Penilaian</w:t>
            </w:r>
            <w:proofErr w:type="spellEnd"/>
          </w:p>
        </w:tc>
        <w:tc>
          <w:tcPr>
            <w:tcW w:w="9570" w:type="dxa"/>
            <w:gridSpan w:val="7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35839" w:rsidRPr="00C83102" w:rsidRDefault="00335839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Akhlak</w:t>
            </w:r>
            <w:proofErr w:type="spellEnd"/>
            <w:r w:rsidR="00C83102"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 xml:space="preserve"> : 10%</w:t>
            </w:r>
          </w:p>
          <w:p w:rsidR="00A30327" w:rsidRPr="00C83102" w:rsidRDefault="00A30327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Tugas</w:t>
            </w:r>
            <w:proofErr w:type="spellEnd"/>
            <w:r w:rsidR="00335839" w:rsidRPr="00C83102">
              <w:rPr>
                <w:rFonts w:cstheme="majorBidi"/>
              </w:rPr>
              <w:t xml:space="preserve">   : 10% </w:t>
            </w:r>
          </w:p>
          <w:p w:rsidR="00A30327" w:rsidRPr="00C83102" w:rsidRDefault="00A30327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proofErr w:type="spellStart"/>
            <w:r w:rsidRPr="00C83102">
              <w:rPr>
                <w:rFonts w:cstheme="majorBidi"/>
              </w:rPr>
              <w:t>Kuis</w:t>
            </w:r>
            <w:proofErr w:type="spellEnd"/>
            <w:r w:rsidR="00335839" w:rsidRPr="00C83102">
              <w:rPr>
                <w:rFonts w:cstheme="majorBidi"/>
              </w:rPr>
              <w:t xml:space="preserve">     </w:t>
            </w:r>
            <w:r w:rsidR="00C83102">
              <w:rPr>
                <w:rFonts w:cstheme="majorBidi"/>
              </w:rPr>
              <w:t xml:space="preserve"> </w:t>
            </w:r>
            <w:r w:rsidR="00335839" w:rsidRPr="00C83102">
              <w:rPr>
                <w:rFonts w:cstheme="majorBidi"/>
              </w:rPr>
              <w:t>: 20%</w:t>
            </w:r>
          </w:p>
          <w:p w:rsidR="00A30327" w:rsidRPr="00C83102" w:rsidRDefault="00335839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UTS   </w:t>
            </w:r>
            <w:r w:rsidR="00C83102">
              <w:rPr>
                <w:rFonts w:cstheme="majorBidi"/>
              </w:rPr>
              <w:t xml:space="preserve"> </w:t>
            </w:r>
            <w:r w:rsidRPr="00C83102">
              <w:rPr>
                <w:rFonts w:cstheme="majorBidi"/>
              </w:rPr>
              <w:t xml:space="preserve">  : 30%</w:t>
            </w:r>
          </w:p>
          <w:p w:rsidR="00A30327" w:rsidRPr="00C83102" w:rsidRDefault="00A30327" w:rsidP="00B3754A">
            <w:pPr>
              <w:pStyle w:val="ListParagraph"/>
              <w:numPr>
                <w:ilvl w:val="0"/>
                <w:numId w:val="13"/>
              </w:numPr>
              <w:ind w:left="451"/>
              <w:jc w:val="both"/>
              <w:rPr>
                <w:rFonts w:cstheme="majorBidi"/>
              </w:rPr>
            </w:pPr>
            <w:r w:rsidRPr="00C83102">
              <w:rPr>
                <w:rFonts w:cstheme="majorBidi"/>
              </w:rPr>
              <w:t xml:space="preserve">UAS  </w:t>
            </w:r>
            <w:r w:rsidR="00C83102">
              <w:rPr>
                <w:rFonts w:cstheme="majorBidi"/>
              </w:rPr>
              <w:t xml:space="preserve">   </w:t>
            </w:r>
            <w:r w:rsidR="00335839" w:rsidRPr="00C83102">
              <w:rPr>
                <w:rFonts w:cstheme="majorBidi"/>
              </w:rPr>
              <w:t>: 30%</w:t>
            </w:r>
          </w:p>
        </w:tc>
      </w:tr>
    </w:tbl>
    <w:p w:rsidR="0097766D" w:rsidRPr="00C83102" w:rsidRDefault="0097766D"/>
    <w:p w:rsidR="002376F9" w:rsidRPr="00C83102" w:rsidRDefault="002376F9"/>
    <w:sectPr w:rsidR="002376F9" w:rsidRPr="00C83102" w:rsidSect="00042C78">
      <w:pgSz w:w="15842" w:h="12242" w:orient="landscape" w:code="1"/>
      <w:pgMar w:top="992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vP43ECB6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B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3CD"/>
    <w:multiLevelType w:val="hybridMultilevel"/>
    <w:tmpl w:val="7E561040"/>
    <w:lvl w:ilvl="0" w:tplc="56F8F3DE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>
    <w:nsid w:val="06AE6C70"/>
    <w:multiLevelType w:val="hybridMultilevel"/>
    <w:tmpl w:val="28C2E402"/>
    <w:lvl w:ilvl="0" w:tplc="93EA08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A20998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E3718DC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157723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246506"/>
    <w:multiLevelType w:val="hybridMultilevel"/>
    <w:tmpl w:val="AB3467BA"/>
    <w:lvl w:ilvl="0" w:tplc="56F8F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22414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F42CBF"/>
    <w:multiLevelType w:val="hybridMultilevel"/>
    <w:tmpl w:val="7930A9AC"/>
    <w:lvl w:ilvl="0" w:tplc="0409000F">
      <w:start w:val="1"/>
      <w:numFmt w:val="decimal"/>
      <w:lvlText w:val="%1."/>
      <w:lvlJc w:val="left"/>
      <w:pPr>
        <w:ind w:left="1028" w:hanging="360"/>
      </w:p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8">
    <w:nsid w:val="40DF624A"/>
    <w:multiLevelType w:val="hybridMultilevel"/>
    <w:tmpl w:val="29FE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06C74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1D155F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1F1749"/>
    <w:multiLevelType w:val="hybridMultilevel"/>
    <w:tmpl w:val="EF02B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E1933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565A6D"/>
    <w:multiLevelType w:val="hybridMultilevel"/>
    <w:tmpl w:val="AD58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55478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583D59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12324A"/>
    <w:multiLevelType w:val="hybridMultilevel"/>
    <w:tmpl w:val="03E25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B7499"/>
    <w:multiLevelType w:val="hybridMultilevel"/>
    <w:tmpl w:val="D4AE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455F8E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5235C2"/>
    <w:multiLevelType w:val="hybridMultilevel"/>
    <w:tmpl w:val="3B5E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C0168B"/>
    <w:multiLevelType w:val="hybridMultilevel"/>
    <w:tmpl w:val="9FFAA9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C839EC"/>
    <w:multiLevelType w:val="hybridMultilevel"/>
    <w:tmpl w:val="527E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4"/>
  </w:num>
  <w:num w:numId="5">
    <w:abstractNumId w:val="6"/>
  </w:num>
  <w:num w:numId="6">
    <w:abstractNumId w:val="20"/>
  </w:num>
  <w:num w:numId="7">
    <w:abstractNumId w:val="18"/>
  </w:num>
  <w:num w:numId="8">
    <w:abstractNumId w:val="4"/>
  </w:num>
  <w:num w:numId="9">
    <w:abstractNumId w:val="12"/>
  </w:num>
  <w:num w:numId="10">
    <w:abstractNumId w:val="15"/>
  </w:num>
  <w:num w:numId="11">
    <w:abstractNumId w:val="10"/>
  </w:num>
  <w:num w:numId="12">
    <w:abstractNumId w:val="1"/>
  </w:num>
  <w:num w:numId="13">
    <w:abstractNumId w:val="11"/>
  </w:num>
  <w:num w:numId="14">
    <w:abstractNumId w:val="16"/>
  </w:num>
  <w:num w:numId="15">
    <w:abstractNumId w:val="7"/>
  </w:num>
  <w:num w:numId="16">
    <w:abstractNumId w:val="21"/>
  </w:num>
  <w:num w:numId="17">
    <w:abstractNumId w:val="8"/>
  </w:num>
  <w:num w:numId="18">
    <w:abstractNumId w:val="0"/>
  </w:num>
  <w:num w:numId="19">
    <w:abstractNumId w:val="13"/>
  </w:num>
  <w:num w:numId="20">
    <w:abstractNumId w:val="5"/>
  </w:num>
  <w:num w:numId="21">
    <w:abstractNumId w:val="1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D41C8"/>
    <w:rsid w:val="00042C78"/>
    <w:rsid w:val="00115EF5"/>
    <w:rsid w:val="0021544E"/>
    <w:rsid w:val="002376F9"/>
    <w:rsid w:val="002A6840"/>
    <w:rsid w:val="002F34F8"/>
    <w:rsid w:val="00335839"/>
    <w:rsid w:val="003A3DA9"/>
    <w:rsid w:val="003D41C8"/>
    <w:rsid w:val="00405C6B"/>
    <w:rsid w:val="00446070"/>
    <w:rsid w:val="004641DA"/>
    <w:rsid w:val="004A45F3"/>
    <w:rsid w:val="00620A7F"/>
    <w:rsid w:val="006F42E3"/>
    <w:rsid w:val="00720B89"/>
    <w:rsid w:val="00803D2C"/>
    <w:rsid w:val="00874ACA"/>
    <w:rsid w:val="008D5190"/>
    <w:rsid w:val="0097766D"/>
    <w:rsid w:val="009E5C01"/>
    <w:rsid w:val="00A30327"/>
    <w:rsid w:val="00A82F87"/>
    <w:rsid w:val="00B3754A"/>
    <w:rsid w:val="00B8306A"/>
    <w:rsid w:val="00C775BC"/>
    <w:rsid w:val="00C83102"/>
    <w:rsid w:val="00EE2D7B"/>
    <w:rsid w:val="00F730D2"/>
    <w:rsid w:val="00F775B7"/>
    <w:rsid w:val="00F9751C"/>
    <w:rsid w:val="00FA4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5B7"/>
    <w:pPr>
      <w:ind w:left="720"/>
      <w:contextualSpacing/>
    </w:pPr>
  </w:style>
  <w:style w:type="table" w:styleId="TableGrid">
    <w:name w:val="Table Grid"/>
    <w:basedOn w:val="TableNormal"/>
    <w:uiPriority w:val="59"/>
    <w:rsid w:val="00F7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77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775B7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0A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0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5B7"/>
    <w:pPr>
      <w:ind w:left="720"/>
      <w:contextualSpacing/>
    </w:pPr>
  </w:style>
  <w:style w:type="table" w:styleId="TableGrid">
    <w:name w:val="Table Grid"/>
    <w:basedOn w:val="TableNormal"/>
    <w:uiPriority w:val="59"/>
    <w:rsid w:val="00F77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775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775B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syarham</cp:lastModifiedBy>
  <cp:revision>15</cp:revision>
  <dcterms:created xsi:type="dcterms:W3CDTF">2019-11-21T01:31:00Z</dcterms:created>
  <dcterms:modified xsi:type="dcterms:W3CDTF">2020-09-19T08:31:00Z</dcterms:modified>
</cp:coreProperties>
</file>