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781686" w:rsidP="0078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Dr. </w:t>
            </w:r>
            <w:proofErr w:type="spellStart"/>
            <w:r w:rsidRPr="00781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Siradjuddin</w:t>
            </w:r>
            <w:proofErr w:type="spellEnd"/>
            <w:r w:rsidRPr="00781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., </w:t>
            </w:r>
            <w:proofErr w:type="spellStart"/>
            <w:r w:rsidRPr="00781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SE.,M.Si</w:t>
            </w:r>
            <w:proofErr w:type="spellEnd"/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3A3DA9" w:rsidP="004E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="004E3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onflik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4E370C" w:rsidP="003A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Mata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kuliah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ini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ditujukan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untuk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memberikan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bekal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pengetahuan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keahlian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kepada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mahasiswa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dalam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organisasi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,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mengidentifikasi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sumber-sumber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,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menangani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menjadi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kekuatan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yang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membantu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dalam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mencapai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tujuan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kemajuan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produktivitas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organisasi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.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Manajemen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dapat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dianggap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suatu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pendekatan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terhadap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pengelolaan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yang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menyediakan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kerangka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kerja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strategis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untuk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mendukung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tujuan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hasil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bisnis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jangka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pendek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hingga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jangka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panjang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.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Pendekatan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ini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berkaitan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dengan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konsep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strategi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untuk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mengelola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secara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dalam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6241F5" w:rsidP="0062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terampil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dalam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teori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utama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dalam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konteks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global. 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moral,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kepribadian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tugasnya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6241F5" w:rsidP="00624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Mahasiswa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akan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dapat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belajar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bagaimana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kritis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menilai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peran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faktor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material,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irasionalitas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,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identitas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,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keadilan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subjektif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. 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kepekaan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kepedulian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masyarakat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4641DA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>1</w:t>
            </w:r>
            <w:r w:rsidR="003A3DA9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berpikir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obyektif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kritis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sistematik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konsep-konsep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teoritis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ilmu-ilmu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akuntansi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mengenali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menganalisa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bisnis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241F5" w:rsidRPr="00CA482E" w:rsidRDefault="006241F5" w:rsidP="006241F5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1. </w:t>
            </w:r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Ho-Won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Jeong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(2013) Conflict Management and Resolution: An Introduction</w:t>
            </w:r>
          </w:p>
          <w:p w:rsidR="00EE2D7B" w:rsidRPr="006241F5" w:rsidRDefault="006241F5" w:rsidP="006241F5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2.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Indartono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(2014)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Modul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Mata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Kuliah</w:t>
            </w:r>
            <w:proofErr w:type="spellEnd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: Conflict Management </w:t>
            </w:r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241F5" w:rsidRPr="003A3DA9" w:rsidRDefault="006241F5" w:rsidP="00624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2D7B" w:rsidRPr="003A3DA9" w:rsidRDefault="00EE2D7B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3A3DA9" w:rsidRDefault="00EE2D7B" w:rsidP="006241F5">
            <w:pPr>
              <w:autoSpaceDE w:val="0"/>
              <w:autoSpaceDN w:val="0"/>
              <w:adjustRightInd w:val="0"/>
              <w:spacing w:after="0" w:line="240" w:lineRule="auto"/>
              <w:ind w:left="216" w:hanging="1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874ACA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874ACA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874ACA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6241F5" w:rsidRPr="00C83102" w:rsidTr="00446070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Kontrak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Pr="00CA482E">
              <w:rPr>
                <w:rFonts w:asciiTheme="minorBidi" w:hAnsiTheme="minorBidi"/>
              </w:rPr>
              <w:t>Perkuliahan</w:t>
            </w:r>
            <w:proofErr w:type="spellEnd"/>
            <w:r w:rsidRPr="00CA482E">
              <w:rPr>
                <w:rFonts w:asciiTheme="minorBidi" w:hAnsiTheme="minorBidi"/>
              </w:rPr>
              <w:t xml:space="preserve"> Dan </w:t>
            </w:r>
            <w:proofErr w:type="spellStart"/>
            <w:r w:rsidRPr="00CA482E">
              <w:rPr>
                <w:rFonts w:asciiTheme="minorBidi" w:hAnsiTheme="minorBidi"/>
              </w:rPr>
              <w:t>Deskripsi</w:t>
            </w:r>
            <w:proofErr w:type="spellEnd"/>
            <w:r w:rsidRPr="00CA482E">
              <w:rPr>
                <w:rFonts w:asciiTheme="minorBidi" w:hAnsiTheme="minorBidi"/>
              </w:rPr>
              <w:t xml:space="preserve"> Mata </w:t>
            </w:r>
            <w:proofErr w:type="spellStart"/>
            <w:r w:rsidRPr="00CA482E">
              <w:rPr>
                <w:rFonts w:asciiTheme="minorBidi" w:hAnsiTheme="minorBidi"/>
              </w:rPr>
              <w:t>Kuliah</w:t>
            </w:r>
            <w:proofErr w:type="spellEnd"/>
          </w:p>
        </w:tc>
        <w:tc>
          <w:tcPr>
            <w:tcW w:w="1417" w:type="dxa"/>
          </w:tcPr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Deskripsi</w:t>
            </w:r>
            <w:proofErr w:type="spellEnd"/>
            <w:r w:rsidRPr="00CA482E">
              <w:rPr>
                <w:rFonts w:asciiTheme="minorBidi" w:hAnsiTheme="minorBidi"/>
              </w:rPr>
              <w:t xml:space="preserve"> Mata </w:t>
            </w:r>
            <w:proofErr w:type="spellStart"/>
            <w:r w:rsidRPr="00CA482E">
              <w:rPr>
                <w:rFonts w:asciiTheme="minorBidi" w:hAnsiTheme="minorBidi"/>
              </w:rPr>
              <w:t>Kuliah</w:t>
            </w:r>
            <w:proofErr w:type="spellEnd"/>
          </w:p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Proses</w:t>
            </w:r>
            <w:proofErr w:type="spellEnd"/>
            <w:r w:rsidRPr="00CA482E">
              <w:rPr>
                <w:rFonts w:asciiTheme="minorBidi" w:hAnsiTheme="minorBidi"/>
              </w:rPr>
              <w:t xml:space="preserve"> </w:t>
            </w:r>
            <w:proofErr w:type="spellStart"/>
            <w:r w:rsidRPr="00CA482E">
              <w:rPr>
                <w:rFonts w:asciiTheme="minorBidi" w:hAnsiTheme="minorBidi"/>
              </w:rPr>
              <w:t>Pembelajaran</w:t>
            </w:r>
            <w:proofErr w:type="spellEnd"/>
          </w:p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Evaluasi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Pr="00CA482E">
              <w:rPr>
                <w:rFonts w:asciiTheme="minorBidi" w:hAnsiTheme="minorBidi"/>
              </w:rPr>
              <w:t>Pembelajaran</w:t>
            </w:r>
            <w:proofErr w:type="spellEnd"/>
          </w:p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Pembagian</w:t>
            </w:r>
            <w:proofErr w:type="spellEnd"/>
            <w:r w:rsidRPr="00CA482E">
              <w:rPr>
                <w:rFonts w:asciiTheme="minorBidi" w:hAnsiTheme="minorBidi"/>
              </w:rPr>
              <w:t xml:space="preserve"> Dan </w:t>
            </w:r>
            <w:proofErr w:type="spellStart"/>
            <w:r w:rsidRPr="00CA482E">
              <w:rPr>
                <w:rFonts w:asciiTheme="minorBidi" w:hAnsiTheme="minorBidi"/>
              </w:rPr>
              <w:t>PenjelasanModul</w:t>
            </w:r>
            <w:proofErr w:type="spellEnd"/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Menjelaskan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gambaran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umum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tentang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teori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CA01F3" w:rsidRDefault="006241F5" w:rsidP="006241F5">
            <w:pPr>
              <w:pStyle w:val="ListParagraph"/>
              <w:numPr>
                <w:ilvl w:val="0"/>
                <w:numId w:val="17"/>
              </w:numPr>
              <w:ind w:left="346" w:hanging="270"/>
              <w:jc w:val="both"/>
              <w:rPr>
                <w:rFonts w:asciiTheme="minorBidi" w:hAnsiTheme="minorBidi"/>
              </w:rPr>
            </w:pPr>
            <w:proofErr w:type="spellStart"/>
            <w:r w:rsidRPr="00CA01F3">
              <w:rPr>
                <w:rFonts w:asciiTheme="minorBidi" w:eastAsia="Italic" w:hAnsiTheme="minorBidi"/>
                <w:color w:val="000000"/>
                <w:lang w:eastAsia="zh-CN"/>
              </w:rPr>
              <w:t>Pendahuluan</w:t>
            </w:r>
            <w:proofErr w:type="spellEnd"/>
          </w:p>
          <w:p w:rsidR="006241F5" w:rsidRDefault="006241F5" w:rsidP="006241F5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ind w:left="346" w:hanging="256"/>
              <w:jc w:val="both"/>
              <w:rPr>
                <w:rFonts w:asciiTheme="minorBidi" w:eastAsia="Italic" w:hAnsiTheme="minorBidi"/>
                <w:color w:val="000000"/>
                <w:lang w:eastAsia="zh-CN"/>
              </w:rPr>
            </w:pPr>
            <w:proofErr w:type="spellStart"/>
            <w:r w:rsidRPr="00CA01F3">
              <w:rPr>
                <w:rFonts w:asciiTheme="minorBidi" w:eastAsia="Italic" w:hAnsiTheme="minorBidi"/>
                <w:color w:val="000000"/>
                <w:lang w:eastAsia="zh-CN"/>
              </w:rPr>
              <w:t>Penjelasan</w:t>
            </w:r>
            <w:proofErr w:type="spellEnd"/>
            <w:r>
              <w:rPr>
                <w:rFonts w:asciiTheme="minorBidi" w:eastAsia="Italic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01F3">
              <w:rPr>
                <w:rFonts w:asciiTheme="minorBidi" w:eastAsia="Italic" w:hAnsiTheme="minorBidi"/>
                <w:color w:val="000000"/>
                <w:lang w:eastAsia="zh-CN"/>
              </w:rPr>
              <w:t>umum</w:t>
            </w:r>
            <w:proofErr w:type="spellEnd"/>
            <w:r>
              <w:rPr>
                <w:rFonts w:asciiTheme="minorBidi" w:eastAsia="Italic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01F3">
              <w:rPr>
                <w:rFonts w:asciiTheme="minorBidi" w:eastAsia="Italic" w:hAnsiTheme="minorBidi"/>
                <w:color w:val="000000"/>
                <w:lang w:eastAsia="zh-CN"/>
              </w:rPr>
              <w:t>perkuliahan</w:t>
            </w:r>
            <w:proofErr w:type="spellEnd"/>
          </w:p>
          <w:p w:rsidR="006241F5" w:rsidRPr="00CA01F3" w:rsidRDefault="006241F5" w:rsidP="006241F5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ind w:left="346" w:hanging="256"/>
              <w:jc w:val="both"/>
              <w:rPr>
                <w:rFonts w:asciiTheme="minorBidi" w:hAnsiTheme="minorBidi"/>
              </w:rPr>
            </w:pPr>
            <w:proofErr w:type="spellStart"/>
            <w:r w:rsidRPr="00CA01F3">
              <w:rPr>
                <w:rFonts w:asciiTheme="minorBidi" w:eastAsia="Italic" w:hAnsiTheme="minorBidi"/>
                <w:color w:val="000000"/>
                <w:lang w:eastAsia="zh-CN"/>
              </w:rPr>
              <w:lastRenderedPageBreak/>
              <w:t>PembagianTugasKelompok</w:t>
            </w:r>
            <w:proofErr w:type="spellEnd"/>
          </w:p>
          <w:p w:rsidR="006241F5" w:rsidRPr="00CA01F3" w:rsidRDefault="006241F5" w:rsidP="006241F5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ind w:left="346" w:hanging="256"/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Italic" w:hAnsiTheme="minorBidi"/>
                <w:color w:val="000000"/>
                <w:lang w:eastAsia="zh-CN"/>
              </w:rPr>
              <w:t>Materi</w:t>
            </w:r>
            <w:proofErr w:type="spellEnd"/>
            <w:r>
              <w:rPr>
                <w:rFonts w:asciiTheme="minorBidi" w:eastAsia="Italic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Italic" w:hAnsiTheme="minorBidi"/>
                <w:color w:val="000000"/>
                <w:lang w:eastAsia="zh-CN"/>
              </w:rPr>
              <w:t>Pendahuluan</w:t>
            </w:r>
            <w:proofErr w:type="spellEnd"/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keragaman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berbagai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perspektif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tentang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r w:rsidRPr="00CA482E">
              <w:rPr>
                <w:rFonts w:asciiTheme="minorBidi" w:eastAsia="Italic" w:hAnsiTheme="minorBidi"/>
                <w:color w:val="000000"/>
                <w:lang w:eastAsia="zh-CN"/>
              </w:rPr>
              <w:t xml:space="preserve">perspective on conflict (resolution) </w:t>
            </w:r>
          </w:p>
          <w:p w:rsidR="006241F5" w:rsidRPr="00CA482E" w:rsidRDefault="006241F5" w:rsidP="00614034">
            <w:pPr>
              <w:pStyle w:val="ListParagraph"/>
              <w:ind w:left="187"/>
              <w:jc w:val="both"/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prakterk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praktek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pengelolaan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interaksi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r w:rsidRPr="00CA482E">
              <w:rPr>
                <w:rFonts w:asciiTheme="minorBidi" w:eastAsia="Italic" w:hAnsiTheme="minorBidi"/>
                <w:color w:val="000000"/>
                <w:lang w:eastAsia="zh-CN"/>
              </w:rPr>
              <w:t>managing intractable conflict</w:t>
            </w:r>
          </w:p>
          <w:p w:rsidR="006241F5" w:rsidRPr="00CA482E" w:rsidRDefault="006241F5" w:rsidP="00614034">
            <w:pPr>
              <w:pStyle w:val="ListParagraph"/>
              <w:ind w:left="187"/>
              <w:jc w:val="both"/>
              <w:rPr>
                <w:rFonts w:asciiTheme="minorBidi" w:hAnsiTheme="minorBidi"/>
                <w:lang w:val="id-ID"/>
              </w:rPr>
            </w:pPr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6241F5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perubahan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6241F5" w:rsidRPr="00CA482E" w:rsidRDefault="006241F5" w:rsidP="00614034">
            <w:pPr>
              <w:jc w:val="center"/>
              <w:rPr>
                <w:rFonts w:asciiTheme="minorBidi" w:hAnsiTheme="minorBidi"/>
              </w:rPr>
            </w:pPr>
            <w:r w:rsidRPr="00CA482E">
              <w:rPr>
                <w:rFonts w:asciiTheme="minorBidi" w:eastAsia="Italic" w:hAnsiTheme="minorBidi"/>
                <w:color w:val="000000"/>
                <w:lang w:eastAsia="zh-CN"/>
              </w:rPr>
              <w:t>conflict transformation</w:t>
            </w:r>
          </w:p>
          <w:p w:rsidR="006241F5" w:rsidRPr="00CA482E" w:rsidRDefault="006241F5" w:rsidP="00614034">
            <w:pPr>
              <w:pStyle w:val="ListParagraph"/>
              <w:ind w:left="187"/>
              <w:jc w:val="both"/>
              <w:rPr>
                <w:rFonts w:asciiTheme="minorBidi" w:hAnsiTheme="minorBid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6241F5" w:rsidRPr="00C83102" w:rsidRDefault="006241F5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6241F5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  <w:tcBorders>
              <w:right w:val="nil"/>
            </w:tcBorders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6241F5" w:rsidRPr="00CA482E" w:rsidRDefault="006241F5" w:rsidP="00614034">
            <w:pPr>
              <w:pStyle w:val="ListParagraph"/>
              <w:ind w:left="187"/>
              <w:jc w:val="both"/>
              <w:rPr>
                <w:rFonts w:asciiTheme="minorBidi" w:hAnsiTheme="minorBid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241F5" w:rsidRPr="00C83102" w:rsidRDefault="006241F5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6241F5" w:rsidRPr="00C83102" w:rsidRDefault="006241F5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identitas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salah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satu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dimensi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manajemen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CA482E" w:rsidRDefault="006241F5" w:rsidP="00614034">
            <w:pPr>
              <w:jc w:val="center"/>
              <w:rPr>
                <w:rFonts w:asciiTheme="minorBidi" w:hAnsiTheme="minorBidi"/>
              </w:rPr>
            </w:pPr>
            <w:r w:rsidRPr="00CA482E">
              <w:rPr>
                <w:rFonts w:asciiTheme="minorBidi" w:eastAsia="Italic" w:hAnsiTheme="minorBidi"/>
                <w:color w:val="000000"/>
                <w:lang w:eastAsia="zh-CN"/>
              </w:rPr>
              <w:t>Identity</w:t>
            </w:r>
          </w:p>
          <w:p w:rsidR="006241F5" w:rsidRPr="00CA482E" w:rsidRDefault="006241F5" w:rsidP="00614034">
            <w:pPr>
              <w:pStyle w:val="ListParagraph"/>
              <w:ind w:left="187"/>
              <w:jc w:val="center"/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6241F5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8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6241F5" w:rsidRPr="00C83102" w:rsidRDefault="006241F5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MID SEMESTER</w:t>
            </w: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9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Kekasaan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/power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salah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satu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dimensi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manajemen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CA482E" w:rsidRDefault="006241F5" w:rsidP="00614034">
            <w:pPr>
              <w:jc w:val="center"/>
              <w:rPr>
                <w:rFonts w:asciiTheme="minorBidi" w:hAnsiTheme="minorBidi"/>
              </w:rPr>
            </w:pPr>
            <w:r w:rsidRPr="00CA482E">
              <w:rPr>
                <w:rFonts w:asciiTheme="minorBidi" w:hAnsiTheme="minorBidi"/>
              </w:rPr>
              <w:t>Power</w:t>
            </w:r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</w:t>
            </w:r>
            <w:r w:rsidRPr="00C83102">
              <w:rPr>
                <w:rFonts w:cstheme="majorBidi"/>
              </w:rPr>
              <w:lastRenderedPageBreak/>
              <w:t>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lastRenderedPageBreak/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2E4725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</w:t>
            </w:r>
            <w:r w:rsidR="002E4725">
              <w:rPr>
                <w:rFonts w:asciiTheme="minorHAnsi" w:hAnsiTheme="minorHAnsi" w:cstheme="majorBidi"/>
                <w:sz w:val="22"/>
                <w:szCs w:val="22"/>
              </w:rPr>
              <w:t>0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struktur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salah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satu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dimensi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manajemen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2E4725" w:rsidRDefault="006241F5" w:rsidP="002E4725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Structure</w:t>
            </w:r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2E4725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="002E4725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Negosiasi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2E4725" w:rsidRDefault="006241F5" w:rsidP="002E4725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Negotiation</w:t>
            </w:r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2E4725" w:rsidP="00B8306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12</w:t>
            </w:r>
            <w:r w:rsidR="006241F5"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cara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memediasi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2E4725" w:rsidRDefault="006241F5" w:rsidP="002E4725">
            <w:pPr>
              <w:rPr>
                <w:rFonts w:asciiTheme="minorBidi" w:hAnsiTheme="minorBidi"/>
                <w:bCs/>
              </w:rPr>
            </w:pPr>
            <w:r w:rsidRPr="002E4725">
              <w:rPr>
                <w:rFonts w:asciiTheme="minorBidi" w:hAnsiTheme="minorBidi"/>
                <w:bCs/>
              </w:rPr>
              <w:t>Mediation</w:t>
            </w:r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32155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</w:p>
        </w:tc>
      </w:tr>
      <w:tr w:rsidR="006241F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2E472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14</w:t>
            </w:r>
            <w:r w:rsidR="006241F5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cara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memfasilitasi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 w:rsidR="002E4725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6241F5" w:rsidRPr="00CA482E" w:rsidRDefault="006241F5" w:rsidP="00614034">
            <w:pPr>
              <w:pStyle w:val="ListParagraph"/>
              <w:spacing w:line="259" w:lineRule="auto"/>
              <w:ind w:left="365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241F5" w:rsidRPr="002E4725" w:rsidRDefault="006241F5" w:rsidP="002E4725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facilitation</w:t>
            </w:r>
          </w:p>
        </w:tc>
        <w:tc>
          <w:tcPr>
            <w:tcW w:w="1276" w:type="dxa"/>
          </w:tcPr>
          <w:p w:rsidR="006241F5" w:rsidRPr="00C83102" w:rsidRDefault="006241F5" w:rsidP="00B8306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</w:t>
            </w:r>
            <w:proofErr w:type="spellEnd"/>
            <w:r w:rsidR="0032155B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</w:p>
        </w:tc>
      </w:tr>
      <w:tr w:rsidR="002E4725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2E4725" w:rsidRDefault="002E472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2E4725" w:rsidRPr="00CA482E" w:rsidRDefault="002E4725" w:rsidP="00614034">
            <w:pPr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Rekonsiliasi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2E4725" w:rsidRPr="00CA482E" w:rsidRDefault="002E4725" w:rsidP="00614034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417" w:type="dxa"/>
          </w:tcPr>
          <w:p w:rsidR="002E4725" w:rsidRPr="002E4725" w:rsidRDefault="002E4725" w:rsidP="002E4725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Reconciliation</w:t>
            </w:r>
          </w:p>
        </w:tc>
        <w:tc>
          <w:tcPr>
            <w:tcW w:w="1276" w:type="dxa"/>
          </w:tcPr>
          <w:p w:rsidR="0032155B" w:rsidRPr="00C83102" w:rsidRDefault="0032155B" w:rsidP="0032155B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2E4725" w:rsidRPr="00C83102" w:rsidRDefault="002E4725" w:rsidP="00B8306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2E4725" w:rsidRPr="00C83102" w:rsidRDefault="0032155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2E4725" w:rsidRDefault="0032155B" w:rsidP="0032155B">
            <w:pPr>
              <w:ind w:left="245" w:hanging="245"/>
              <w:rPr>
                <w:rFonts w:cstheme="majorBidi"/>
              </w:rPr>
            </w:pPr>
            <w:r>
              <w:rPr>
                <w:rFonts w:cstheme="majorBidi"/>
              </w:rPr>
              <w:t xml:space="preserve">1. </w:t>
            </w:r>
            <w:proofErr w:type="spellStart"/>
            <w:r>
              <w:rPr>
                <w:rFonts w:cstheme="majorBidi"/>
              </w:rPr>
              <w:t>Diskusi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Kelompok</w:t>
            </w:r>
            <w:proofErr w:type="spellEnd"/>
          </w:p>
          <w:p w:rsidR="0032155B" w:rsidRDefault="0032155B" w:rsidP="0032155B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2. </w:t>
            </w:r>
            <w:proofErr w:type="spellStart"/>
            <w:r>
              <w:rPr>
                <w:rFonts w:cstheme="majorBidi"/>
              </w:rPr>
              <w:t>Penugasan</w:t>
            </w:r>
            <w:proofErr w:type="spellEnd"/>
          </w:p>
          <w:p w:rsidR="0032155B" w:rsidRPr="0032155B" w:rsidRDefault="0032155B" w:rsidP="0032155B">
            <w:pPr>
              <w:ind w:left="245" w:hanging="245"/>
              <w:rPr>
                <w:rFonts w:cstheme="majorBidi"/>
              </w:rPr>
            </w:pPr>
            <w:r>
              <w:rPr>
                <w:rFonts w:cstheme="majorBidi"/>
              </w:rPr>
              <w:t xml:space="preserve">3. </w:t>
            </w:r>
            <w:proofErr w:type="spellStart"/>
            <w:r>
              <w:rPr>
                <w:rFonts w:cstheme="majorBidi"/>
              </w:rPr>
              <w:t>Penyelesaian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kasus</w:t>
            </w:r>
            <w:proofErr w:type="spellEnd"/>
            <w:r>
              <w:rPr>
                <w:rFonts w:cstheme="majorBidi"/>
              </w:rPr>
              <w:t xml:space="preserve"> </w:t>
            </w:r>
          </w:p>
        </w:tc>
        <w:tc>
          <w:tcPr>
            <w:tcW w:w="1074" w:type="dxa"/>
          </w:tcPr>
          <w:p w:rsidR="002E4725" w:rsidRPr="00C83102" w:rsidRDefault="002E4725" w:rsidP="00B8306A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</w:tcPr>
          <w:p w:rsidR="002E4725" w:rsidRPr="00C83102" w:rsidRDefault="002E4725" w:rsidP="00B8306A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2E4725" w:rsidRPr="00C83102" w:rsidRDefault="002E4725" w:rsidP="00B3754A">
            <w:pPr>
              <w:rPr>
                <w:rFonts w:cstheme="majorBidi"/>
              </w:rPr>
            </w:pPr>
          </w:p>
        </w:tc>
      </w:tr>
      <w:tr w:rsidR="002E4725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2E4725" w:rsidRPr="00C83102" w:rsidRDefault="002E472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2E4725" w:rsidRPr="00C83102" w:rsidRDefault="002E4725" w:rsidP="00B3754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2E4725" w:rsidRPr="00C83102" w:rsidTr="007A693E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E4725" w:rsidRPr="00C83102" w:rsidRDefault="002E4725" w:rsidP="00B3754A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E4725" w:rsidRPr="00C83102" w:rsidRDefault="002E4725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2E4725" w:rsidRPr="00C83102" w:rsidRDefault="002E4725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Pr="00C83102">
              <w:rPr>
                <w:rFonts w:cstheme="majorBidi"/>
              </w:rPr>
              <w:t xml:space="preserve">   : 10% </w:t>
            </w:r>
          </w:p>
          <w:p w:rsidR="002E4725" w:rsidRPr="00C83102" w:rsidRDefault="002E4725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Pr="00C83102">
              <w:rPr>
                <w:rFonts w:cstheme="majorBidi"/>
              </w:rPr>
              <w:t xml:space="preserve">  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: 20%</w:t>
            </w:r>
          </w:p>
          <w:p w:rsidR="002E4725" w:rsidRPr="00C83102" w:rsidRDefault="002E4725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2E4725" w:rsidRPr="00C83102" w:rsidRDefault="002E4725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>
              <w:rPr>
                <w:rFonts w:cstheme="majorBidi"/>
              </w:rPr>
              <w:t xml:space="preserve">   </w:t>
            </w:r>
            <w:r w:rsidRPr="00C83102">
              <w:rPr>
                <w:rFonts w:cstheme="majorBidi"/>
              </w:rPr>
              <w:t>: 30%</w:t>
            </w:r>
          </w:p>
        </w:tc>
      </w:tr>
    </w:tbl>
    <w:p w:rsidR="0097766D" w:rsidRDefault="0097766D"/>
    <w:p w:rsidR="002E4725" w:rsidRDefault="002E4725"/>
    <w:p w:rsidR="002E4725" w:rsidRDefault="002E4725"/>
    <w:p w:rsidR="002E4725" w:rsidRPr="00C83102" w:rsidRDefault="002E4725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alic">
    <w:altName w:val="Harlow Solid Ital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E6B62"/>
    <w:multiLevelType w:val="multilevel"/>
    <w:tmpl w:val="270E6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ACD"/>
    <w:multiLevelType w:val="hybridMultilevel"/>
    <w:tmpl w:val="17FA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57106"/>
    <w:multiLevelType w:val="singleLevel"/>
    <w:tmpl w:val="444571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16"/>
  </w:num>
  <w:num w:numId="7">
    <w:abstractNumId w:val="15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15EF5"/>
    <w:rsid w:val="0021544E"/>
    <w:rsid w:val="002376F9"/>
    <w:rsid w:val="002A6840"/>
    <w:rsid w:val="002E4725"/>
    <w:rsid w:val="002F34F8"/>
    <w:rsid w:val="0032155B"/>
    <w:rsid w:val="00335839"/>
    <w:rsid w:val="003A3DA9"/>
    <w:rsid w:val="003D41C8"/>
    <w:rsid w:val="00405C6B"/>
    <w:rsid w:val="00446070"/>
    <w:rsid w:val="00462A85"/>
    <w:rsid w:val="004641DA"/>
    <w:rsid w:val="004A45F3"/>
    <w:rsid w:val="004E370C"/>
    <w:rsid w:val="006241F5"/>
    <w:rsid w:val="006F42E3"/>
    <w:rsid w:val="00720B89"/>
    <w:rsid w:val="00781686"/>
    <w:rsid w:val="00803D2C"/>
    <w:rsid w:val="00874ACA"/>
    <w:rsid w:val="008D5190"/>
    <w:rsid w:val="0097766D"/>
    <w:rsid w:val="009E5C01"/>
    <w:rsid w:val="00A30327"/>
    <w:rsid w:val="00A82F87"/>
    <w:rsid w:val="00B3754A"/>
    <w:rsid w:val="00B8306A"/>
    <w:rsid w:val="00C775BC"/>
    <w:rsid w:val="00C83102"/>
    <w:rsid w:val="00D76B8E"/>
    <w:rsid w:val="00EE2D7B"/>
    <w:rsid w:val="00F730D2"/>
    <w:rsid w:val="00F775B7"/>
    <w:rsid w:val="00F947BB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24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17</cp:revision>
  <dcterms:created xsi:type="dcterms:W3CDTF">2019-11-21T01:31:00Z</dcterms:created>
  <dcterms:modified xsi:type="dcterms:W3CDTF">2020-09-24T00:41:00Z</dcterms:modified>
</cp:coreProperties>
</file>